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BA749" w14:textId="77777777" w:rsidR="00777F80" w:rsidRPr="00777F80" w:rsidRDefault="00777F80" w:rsidP="00777F80">
      <w:pPr>
        <w:spacing w:after="0"/>
        <w:jc w:val="center"/>
        <w:rPr>
          <w:rFonts w:ascii="Calibri" w:hAnsi="Calibri" w:cs="Calibri"/>
          <w:b/>
          <w:bCs/>
          <w:color w:val="000000"/>
          <w:sz w:val="28"/>
          <w:szCs w:val="28"/>
          <w:shd w:val="clear" w:color="auto" w:fill="FFFFFF"/>
        </w:rPr>
      </w:pPr>
      <w:r w:rsidRPr="00777F80">
        <w:rPr>
          <w:rFonts w:ascii="Calibri" w:hAnsi="Calibri" w:cs="Calibri"/>
          <w:b/>
          <w:bCs/>
          <w:color w:val="000000"/>
          <w:sz w:val="28"/>
          <w:szCs w:val="28"/>
          <w:shd w:val="clear" w:color="auto" w:fill="FFFFFF"/>
        </w:rPr>
        <w:t>Chiamati all’unità - Verso un’ecologia delle relazioni</w:t>
      </w:r>
    </w:p>
    <w:p w14:paraId="65ED9580" w14:textId="77777777" w:rsidR="00777F80" w:rsidRPr="00777F80" w:rsidRDefault="00777F80" w:rsidP="00777F80">
      <w:pPr>
        <w:spacing w:after="0"/>
        <w:jc w:val="center"/>
        <w:rPr>
          <w:rFonts w:ascii="Calibri" w:hAnsi="Calibri" w:cs="Calibri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777F80">
        <w:rPr>
          <w:rFonts w:ascii="Calibri" w:hAnsi="Calibri" w:cs="Calibri"/>
          <w:b/>
          <w:bCs/>
          <w:color w:val="000000"/>
          <w:sz w:val="28"/>
          <w:szCs w:val="28"/>
          <w:shd w:val="clear" w:color="auto" w:fill="FFFFFF"/>
        </w:rPr>
        <w:t>Webinar</w:t>
      </w:r>
      <w:proofErr w:type="spellEnd"/>
      <w:r w:rsidRPr="00777F80">
        <w:rPr>
          <w:rFonts w:ascii="Calibri" w:hAnsi="Calibri" w:cs="Calibr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77F80">
        <w:rPr>
          <w:rFonts w:ascii="Calibri" w:hAnsi="Calibri" w:cs="Calibri"/>
          <w:b/>
          <w:bCs/>
          <w:i/>
          <w:color w:val="000000"/>
          <w:sz w:val="28"/>
          <w:szCs w:val="28"/>
          <w:shd w:val="clear" w:color="auto" w:fill="FFFFFF"/>
        </w:rPr>
        <w:t>Insieme per ‘Europa</w:t>
      </w:r>
      <w:r w:rsidRPr="00777F80">
        <w:rPr>
          <w:rFonts w:ascii="Calibri" w:hAnsi="Calibri" w:cs="Calibri"/>
          <w:b/>
          <w:bCs/>
          <w:color w:val="000000"/>
          <w:sz w:val="28"/>
          <w:szCs w:val="28"/>
          <w:shd w:val="clear" w:color="auto" w:fill="FFFFFF"/>
        </w:rPr>
        <w:t xml:space="preserve"> 2 marzo 2024</w:t>
      </w:r>
    </w:p>
    <w:p w14:paraId="668D449C" w14:textId="77777777" w:rsidR="00777F80" w:rsidRPr="006963E3" w:rsidRDefault="00777F80" w:rsidP="00777F80">
      <w:pPr>
        <w:spacing w:after="0"/>
        <w:rPr>
          <w:sz w:val="26"/>
          <w:szCs w:val="26"/>
        </w:rPr>
      </w:pPr>
    </w:p>
    <w:p w14:paraId="67FB3190" w14:textId="77777777" w:rsidR="00777F80" w:rsidRDefault="00777F80" w:rsidP="00E71A29">
      <w:pPr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  <w:bookmarkStart w:id="0" w:name="_GoBack"/>
      <w:bookmarkEnd w:id="0"/>
    </w:p>
    <w:p w14:paraId="291CF3E1" w14:textId="39B55908" w:rsidR="00956CE3" w:rsidRPr="00777F80" w:rsidRDefault="00777F80" w:rsidP="00E71A29">
      <w:pPr>
        <w:spacing w:line="276" w:lineRule="auto"/>
        <w:jc w:val="both"/>
        <w:rPr>
          <w:rFonts w:asciiTheme="majorHAnsi" w:hAnsiTheme="majorHAnsi" w:cstheme="majorHAnsi"/>
          <w:color w:val="000000" w:themeColor="text1"/>
          <w:sz w:val="25"/>
          <w:szCs w:val="25"/>
          <w:u w:val="single"/>
        </w:rPr>
      </w:pPr>
      <w:r w:rsidRPr="00777F80">
        <w:rPr>
          <w:rFonts w:asciiTheme="majorHAnsi" w:hAnsiTheme="majorHAnsi" w:cstheme="majorHAnsi"/>
          <w:color w:val="000000" w:themeColor="text1"/>
          <w:sz w:val="25"/>
          <w:szCs w:val="25"/>
          <w:u w:val="single"/>
        </w:rPr>
        <w:t xml:space="preserve">Intervento </w:t>
      </w:r>
      <w:r w:rsidR="0049173C" w:rsidRPr="00777F80">
        <w:rPr>
          <w:rFonts w:asciiTheme="majorHAnsi" w:hAnsiTheme="majorHAnsi" w:cstheme="majorHAnsi"/>
          <w:color w:val="000000" w:themeColor="text1"/>
          <w:sz w:val="25"/>
          <w:szCs w:val="25"/>
          <w:u w:val="single"/>
        </w:rPr>
        <w:t xml:space="preserve">di </w:t>
      </w:r>
      <w:r w:rsidRPr="00777F80">
        <w:rPr>
          <w:rFonts w:asciiTheme="majorHAnsi" w:hAnsiTheme="majorHAnsi" w:cstheme="majorHAnsi"/>
          <w:b/>
          <w:bCs/>
          <w:color w:val="000000" w:themeColor="text1"/>
          <w:sz w:val="25"/>
          <w:szCs w:val="25"/>
          <w:u w:val="single"/>
        </w:rPr>
        <w:t xml:space="preserve">Prof. Philip </w:t>
      </w:r>
      <w:proofErr w:type="spellStart"/>
      <w:r w:rsidRPr="00777F80">
        <w:rPr>
          <w:rFonts w:asciiTheme="majorHAnsi" w:hAnsiTheme="majorHAnsi" w:cstheme="majorHAnsi"/>
          <w:b/>
          <w:bCs/>
          <w:color w:val="000000" w:themeColor="text1"/>
          <w:sz w:val="25"/>
          <w:szCs w:val="25"/>
          <w:u w:val="single"/>
        </w:rPr>
        <w:t>McDonagh</w:t>
      </w:r>
      <w:proofErr w:type="spellEnd"/>
      <w:r w:rsidRPr="00777F80">
        <w:rPr>
          <w:rFonts w:asciiTheme="majorHAnsi" w:hAnsiTheme="majorHAnsi" w:cstheme="majorHAnsi"/>
          <w:b/>
          <w:bCs/>
          <w:color w:val="000000" w:themeColor="text1"/>
          <w:sz w:val="25"/>
          <w:szCs w:val="25"/>
          <w:u w:val="single"/>
        </w:rPr>
        <w:t>, Università di Dublino</w:t>
      </w:r>
      <w:r>
        <w:rPr>
          <w:rFonts w:asciiTheme="majorHAnsi" w:hAnsiTheme="majorHAnsi" w:cstheme="majorHAnsi"/>
          <w:b/>
          <w:bCs/>
          <w:color w:val="000000" w:themeColor="text1"/>
          <w:sz w:val="25"/>
          <w:szCs w:val="25"/>
          <w:u w:val="single"/>
        </w:rPr>
        <w:t xml:space="preserve"> (Irlanda)</w:t>
      </w:r>
    </w:p>
    <w:p w14:paraId="5BA30707" w14:textId="77777777" w:rsidR="00E71A29" w:rsidRDefault="00E71A29" w:rsidP="00E71A29">
      <w:pPr>
        <w:jc w:val="both"/>
      </w:pPr>
    </w:p>
    <w:p w14:paraId="1835ED6D" w14:textId="401408D1" w:rsidR="00956CE3" w:rsidRDefault="00956CE3" w:rsidP="00E71A29">
      <w:pPr>
        <w:jc w:val="both"/>
      </w:pPr>
      <w:r>
        <w:t>Ho</w:t>
      </w:r>
      <w:r w:rsidR="0049173C">
        <w:t xml:space="preserve"> pensato</w:t>
      </w:r>
      <w:r>
        <w:t xml:space="preserve"> di dire qualcosa sull’Articolo 17 e sul </w:t>
      </w:r>
      <w:r w:rsidR="0049173C">
        <w:t>‘</w:t>
      </w:r>
      <w:r>
        <w:t>Green Deal</w:t>
      </w:r>
      <w:r w:rsidR="0049173C">
        <w:t>’</w:t>
      </w:r>
      <w:r>
        <w:t xml:space="preserve">. Poi </w:t>
      </w:r>
      <w:r w:rsidR="0049173C">
        <w:t>argomen</w:t>
      </w:r>
      <w:r>
        <w:t xml:space="preserve">terò che la metodologia dell’articolo 17 può rivelarsi utile nel promuovere una transizione </w:t>
      </w:r>
      <w:r w:rsidR="0049173C">
        <w:t>equa</w:t>
      </w:r>
      <w:r>
        <w:t>. Infine, offrirò alcuni principi e raccomandazioni specifici.</w:t>
      </w:r>
    </w:p>
    <w:p w14:paraId="699280F3" w14:textId="77777777" w:rsidR="00956CE3" w:rsidRPr="00956CE3" w:rsidRDefault="00956CE3" w:rsidP="00E71A29">
      <w:pPr>
        <w:jc w:val="both"/>
        <w:rPr>
          <w:b/>
          <w:bCs/>
        </w:rPr>
      </w:pPr>
      <w:r w:rsidRPr="00956CE3">
        <w:rPr>
          <w:b/>
          <w:bCs/>
        </w:rPr>
        <w:t>1. Articolo 17</w:t>
      </w:r>
    </w:p>
    <w:p w14:paraId="5E3883A6" w14:textId="049E8E58" w:rsidR="00956CE3" w:rsidRDefault="00956CE3" w:rsidP="00E71A29">
      <w:pPr>
        <w:jc w:val="both"/>
      </w:pPr>
      <w:r>
        <w:t xml:space="preserve">L’articolo 17 del </w:t>
      </w:r>
      <w:r w:rsidR="0049173C">
        <w:t>T</w:t>
      </w:r>
      <w:r>
        <w:t xml:space="preserve">rattato sul </w:t>
      </w:r>
      <w:r w:rsidR="0049173C">
        <w:t>F</w:t>
      </w:r>
      <w:r>
        <w:t xml:space="preserve">unzionamento dell’Unione europea (TFUE) </w:t>
      </w:r>
      <w:r w:rsidR="0049173C">
        <w:t>recita</w:t>
      </w:r>
      <w:r>
        <w:t xml:space="preserve">, al terzo </w:t>
      </w:r>
      <w:r w:rsidR="0049173C">
        <w:t>paragrafo</w:t>
      </w:r>
      <w:r>
        <w:t>: «Riconoscendo la loro identità e il loro contributo specifico, l’Unione mant</w:t>
      </w:r>
      <w:r w:rsidR="0049173C">
        <w:t xml:space="preserve">errà </w:t>
      </w:r>
      <w:r>
        <w:t>un dialogo aperto, trasparente e regolare con tali chiese e organizzazioni</w:t>
      </w:r>
      <w:r w:rsidR="0049173C">
        <w:t>».</w:t>
      </w:r>
    </w:p>
    <w:p w14:paraId="01D4C5FB" w14:textId="1F01738F" w:rsidR="00956CE3" w:rsidRDefault="00956CE3" w:rsidP="00E71A29">
      <w:pPr>
        <w:jc w:val="both"/>
      </w:pPr>
      <w:r>
        <w:t>L’articolo 17 è il principale esempio mondiale di impegno da parte delle autorità pubbliche a in</w:t>
      </w:r>
      <w:r w:rsidR="00270AC5">
        <w:t>traprendere</w:t>
      </w:r>
      <w:r>
        <w:t xml:space="preserve"> un dialogo strutturato con le chiese e le comunità </w:t>
      </w:r>
      <w:r w:rsidR="00270AC5">
        <w:t xml:space="preserve">religiose </w:t>
      </w:r>
      <w:r>
        <w:t xml:space="preserve">sulle questioni politiche attuali. Il “dialogo aperto, trasparente e regolare” previsto dall’articolo sostiene gli obiettivi della recente Conferenza sul </w:t>
      </w:r>
      <w:r w:rsidR="00270AC5">
        <w:t>F</w:t>
      </w:r>
      <w:r>
        <w:t>uturo dell’Europa (</w:t>
      </w:r>
      <w:proofErr w:type="spellStart"/>
      <w:r>
        <w:t>CoFoE</w:t>
      </w:r>
      <w:proofErr w:type="spellEnd"/>
      <w:r>
        <w:t>), che mirava a coinvolger</w:t>
      </w:r>
      <w:r w:rsidR="00346FC1">
        <w:t>c</w:t>
      </w:r>
      <w:r>
        <w:t xml:space="preserve">i </w:t>
      </w:r>
      <w:r w:rsidR="00346FC1">
        <w:t xml:space="preserve">come </w:t>
      </w:r>
      <w:r>
        <w:t xml:space="preserve">cittadini nel plasmare il nostro futuro. L’articolo 17 </w:t>
      </w:r>
      <w:r w:rsidR="00346FC1">
        <w:t xml:space="preserve">fotografa </w:t>
      </w:r>
      <w:r>
        <w:t>ne</w:t>
      </w:r>
      <w:r w:rsidR="00346FC1">
        <w:t xml:space="preserve">l linguaggio </w:t>
      </w:r>
      <w:r>
        <w:t xml:space="preserve">del </w:t>
      </w:r>
      <w:r w:rsidR="00346FC1">
        <w:t xml:space="preserve">XXI </w:t>
      </w:r>
      <w:r>
        <w:t>secolo la visione di una società guidata da</w:t>
      </w:r>
      <w:r w:rsidR="00346FC1">
        <w:t xml:space="preserve"> que</w:t>
      </w:r>
      <w:r>
        <w:t>i valori che i pensatori</w:t>
      </w:r>
      <w:r w:rsidR="00346FC1">
        <w:t>-</w:t>
      </w:r>
      <w:r>
        <w:t>fonda</w:t>
      </w:r>
      <w:r w:rsidR="00346FC1">
        <w:t xml:space="preserve">tori </w:t>
      </w:r>
      <w:r>
        <w:t>dell’Europa del dopoguerra davano per scontat</w:t>
      </w:r>
      <w:r w:rsidR="001B1528">
        <w:t>i</w:t>
      </w:r>
      <w:r>
        <w:t>.</w:t>
      </w:r>
    </w:p>
    <w:p w14:paraId="7237BFD0" w14:textId="77777777" w:rsidR="00956CE3" w:rsidRPr="00956CE3" w:rsidRDefault="00956CE3" w:rsidP="00E71A29">
      <w:pPr>
        <w:jc w:val="both"/>
        <w:rPr>
          <w:b/>
          <w:bCs/>
        </w:rPr>
      </w:pPr>
      <w:r w:rsidRPr="00956CE3">
        <w:rPr>
          <w:b/>
          <w:bCs/>
        </w:rPr>
        <w:t>2. Il Green Deal</w:t>
      </w:r>
    </w:p>
    <w:p w14:paraId="5FC673B7" w14:textId="40F1928F" w:rsidR="00956CE3" w:rsidRDefault="00956CE3" w:rsidP="00E71A29">
      <w:pPr>
        <w:jc w:val="both"/>
      </w:pPr>
      <w:r>
        <w:t xml:space="preserve">Passo ora al </w:t>
      </w:r>
      <w:r w:rsidRPr="00346FC1">
        <w:rPr>
          <w:i/>
          <w:iCs/>
        </w:rPr>
        <w:t>Green Deal</w:t>
      </w:r>
      <w:r>
        <w:t>. Si tratta del quadro politico più ambizioso a</w:t>
      </w:r>
      <w:r w:rsidR="00346FC1">
        <w:t xml:space="preserve"> </w:t>
      </w:r>
      <w:r>
        <w:t>l</w:t>
      </w:r>
      <w:r w:rsidR="00346FC1">
        <w:t>ivello</w:t>
      </w:r>
      <w:r>
        <w:t xml:space="preserve"> mond</w:t>
      </w:r>
      <w:r w:rsidR="00346FC1">
        <w:t>iale finalizzato a</w:t>
      </w:r>
      <w:r>
        <w:t xml:space="preserve"> plasmare il futuro dell’agricoltura alla luce di obiettivi </w:t>
      </w:r>
      <w:r w:rsidR="00346FC1">
        <w:t xml:space="preserve">di </w:t>
      </w:r>
      <w:r>
        <w:t>più ampi</w:t>
      </w:r>
      <w:r w:rsidR="00346FC1">
        <w:t>o respiro</w:t>
      </w:r>
      <w:r>
        <w:t xml:space="preserve">. </w:t>
      </w:r>
      <w:r w:rsidR="00346FC1">
        <w:t xml:space="preserve">Si tratta </w:t>
      </w:r>
      <w:r>
        <w:t xml:space="preserve">anche </w:t>
      </w:r>
      <w:r w:rsidR="00346FC1">
        <w:t>de</w:t>
      </w:r>
      <w:r>
        <w:t xml:space="preserve">l nostro più grande </w:t>
      </w:r>
      <w:r w:rsidR="00346FC1">
        <w:t xml:space="preserve">progetto </w:t>
      </w:r>
      <w:r>
        <w:t xml:space="preserve">nell’UE, con conseguenze di vasta portata per quasi tutti i settori della società: un risultato </w:t>
      </w:r>
      <w:r w:rsidR="00346FC1">
        <w:t>di immensa portata</w:t>
      </w:r>
      <w:r>
        <w:t xml:space="preserve">. Tuttavia, è </w:t>
      </w:r>
      <w:r w:rsidR="00346FC1">
        <w:t xml:space="preserve">evidente </w:t>
      </w:r>
      <w:r>
        <w:t xml:space="preserve">che una parte significativa della popolazione agricola dell’Unione europea fatica davvero a identificarsi con il processo di transizione. Dall’estate del 2022 </w:t>
      </w:r>
      <w:r w:rsidR="00346FC1">
        <w:t xml:space="preserve">assistiamo alle </w:t>
      </w:r>
      <w:r>
        <w:t xml:space="preserve">proteste degli agricoltori in tutta Europa. Sullo sfondo </w:t>
      </w:r>
      <w:r w:rsidR="00D1050B">
        <w:t>veng</w:t>
      </w:r>
      <w:r>
        <w:t xml:space="preserve">ono </w:t>
      </w:r>
      <w:r w:rsidR="00D1050B">
        <w:t xml:space="preserve">in evidenza </w:t>
      </w:r>
      <w:r>
        <w:t>alcune statistiche demografiche inquietanti. Nel 2020 nell’UE e</w:t>
      </w:r>
      <w:r w:rsidR="00D1050B">
        <w:t>r</w:t>
      </w:r>
      <w:r>
        <w:t xml:space="preserve">ano </w:t>
      </w:r>
      <w:r w:rsidR="00D1050B">
        <w:t xml:space="preserve">presenti </w:t>
      </w:r>
      <w:r>
        <w:t xml:space="preserve">9,1 milioni di aziende agricole. </w:t>
      </w:r>
      <w:r w:rsidR="00D1050B">
        <w:t>R</w:t>
      </w:r>
      <w:r>
        <w:t>ispetto al 2005</w:t>
      </w:r>
      <w:r w:rsidR="00D1050B">
        <w:t>, però,</w:t>
      </w:r>
      <w:r>
        <w:t xml:space="preserve"> le aziende agricole </w:t>
      </w:r>
      <w:r w:rsidR="00D1050B">
        <w:t>risulta</w:t>
      </w:r>
      <w:r>
        <w:t xml:space="preserve">no molte </w:t>
      </w:r>
      <w:r w:rsidR="00D1050B">
        <w:t>ridotte di nu</w:t>
      </w:r>
      <w:r>
        <w:t>me</w:t>
      </w:r>
      <w:r w:rsidR="00D1050B">
        <w:t>r</w:t>
      </w:r>
      <w:r>
        <w:t xml:space="preserve">o, circa 5 milioni di </w:t>
      </w:r>
      <w:r w:rsidR="00D1050B">
        <w:t>meno</w:t>
      </w:r>
      <w:r>
        <w:t xml:space="preserve">. </w:t>
      </w:r>
      <w:r w:rsidR="00D1050B">
        <w:t>Sempre n</w:t>
      </w:r>
      <w:r>
        <w:t>el 2020, più della metà d</w:t>
      </w:r>
      <w:r w:rsidR="00D1050B">
        <w:t>egl</w:t>
      </w:r>
      <w:r>
        <w:t xml:space="preserve">i </w:t>
      </w:r>
      <w:r w:rsidR="00D1050B">
        <w:t xml:space="preserve">imprenditori </w:t>
      </w:r>
      <w:r>
        <w:t xml:space="preserve">agricoli dell’UE avevano almeno 55 anni (circa un terzo aveva almeno 65 anni) e solo un numero molto limitato erano </w:t>
      </w:r>
      <w:r w:rsidR="00D1050B">
        <w:t xml:space="preserve">imprenditori giovani </w:t>
      </w:r>
      <w:r>
        <w:t>(</w:t>
      </w:r>
      <w:r w:rsidR="00D1050B">
        <w:t xml:space="preserve">ovvero </w:t>
      </w:r>
      <w:r>
        <w:t xml:space="preserve">sotto i 40 anni). In quasi tutti gli Stati membri dell’UE le persone impiegate nel settore agricolo </w:t>
      </w:r>
      <w:r w:rsidR="00D1050B">
        <w:t>lavora</w:t>
      </w:r>
      <w:r>
        <w:t xml:space="preserve">no in media molte più ore </w:t>
      </w:r>
      <w:r w:rsidR="00D1050B">
        <w:t xml:space="preserve">alla </w:t>
      </w:r>
      <w:r>
        <w:t>settimana rispetto al resto della forza lavoro.</w:t>
      </w:r>
    </w:p>
    <w:p w14:paraId="5B5215B6" w14:textId="1CE48218" w:rsidR="00956CE3" w:rsidRDefault="00956CE3" w:rsidP="00E71A29">
      <w:pPr>
        <w:jc w:val="both"/>
      </w:pPr>
      <w:r>
        <w:t>Gli agricoltori europei si trovano ad affrontare un’enorme serie di sfide: legislazione complessa, condizion</w:t>
      </w:r>
      <w:r w:rsidR="00225F40">
        <w:t>i sempre più difficili</w:t>
      </w:r>
      <w:r>
        <w:t xml:space="preserve"> per </w:t>
      </w:r>
      <w:r w:rsidR="00225F40">
        <w:t xml:space="preserve">ricevere un </w:t>
      </w:r>
      <w:r>
        <w:t>sostegno finanziario</w:t>
      </w:r>
      <w:r w:rsidR="00D8008B">
        <w:t xml:space="preserve">, </w:t>
      </w:r>
      <w:r>
        <w:t xml:space="preserve">inflazione. </w:t>
      </w:r>
      <w:r w:rsidR="00225F40">
        <w:t>N</w:t>
      </w:r>
      <w:r>
        <w:t>on sorprende</w:t>
      </w:r>
      <w:r w:rsidR="00225F40">
        <w:t>, quindi,</w:t>
      </w:r>
      <w:r>
        <w:t xml:space="preserve"> che il numero delle aziende agricole di piccole e medie dimensioni e dei giovani imprenditori sia</w:t>
      </w:r>
      <w:r w:rsidR="00225F40">
        <w:t>no</w:t>
      </w:r>
      <w:r>
        <w:t xml:space="preserve"> in forte calo. Noi che viviamo nelle città dobbiamo </w:t>
      </w:r>
      <w:r>
        <w:lastRenderedPageBreak/>
        <w:t xml:space="preserve">ascoltare, comprendere l’attaccamento che molti agricoltori provano per le loro tradizioni e </w:t>
      </w:r>
      <w:r w:rsidR="00225F40">
        <w:t>colloc</w:t>
      </w:r>
      <w:r>
        <w:t>are i bisogni sociali e culturali delle comunità agricole in un contesto politico più ampio.</w:t>
      </w:r>
    </w:p>
    <w:p w14:paraId="7D28A4FC" w14:textId="77777777" w:rsidR="00956CE3" w:rsidRPr="00956CE3" w:rsidRDefault="00956CE3" w:rsidP="00E71A29">
      <w:pPr>
        <w:jc w:val="both"/>
        <w:rPr>
          <w:b/>
          <w:bCs/>
        </w:rPr>
      </w:pPr>
      <w:r w:rsidRPr="00956CE3">
        <w:rPr>
          <w:b/>
          <w:bCs/>
        </w:rPr>
        <w:t>La rilevanza dell’articolo 17</w:t>
      </w:r>
    </w:p>
    <w:p w14:paraId="24DA3155" w14:textId="71C89762" w:rsidR="00956CE3" w:rsidRDefault="00956CE3" w:rsidP="00E71A29">
      <w:pPr>
        <w:jc w:val="both"/>
      </w:pPr>
      <w:r>
        <w:t xml:space="preserve">La FAO ha </w:t>
      </w:r>
      <w:r w:rsidR="004065A6">
        <w:t>individu</w:t>
      </w:r>
      <w:r>
        <w:t xml:space="preserve">ato </w:t>
      </w:r>
      <w:r w:rsidR="004065A6">
        <w:t xml:space="preserve">il </w:t>
      </w:r>
      <w:r>
        <w:t xml:space="preserve">Costa Rica e </w:t>
      </w:r>
      <w:r w:rsidR="004065A6">
        <w:t>l’</w:t>
      </w:r>
      <w:r>
        <w:t xml:space="preserve">Irlanda come paesi che stanno sviluppando processi nazionali credibili di transizione legata al clima. </w:t>
      </w:r>
      <w:r w:rsidR="004065A6">
        <w:t xml:space="preserve">Vale la pena di </w:t>
      </w:r>
      <w:r>
        <w:t xml:space="preserve">segnalare il cambiamento in Costa Rica: comprende la riduzione delle spese militari, </w:t>
      </w:r>
      <w:r w:rsidR="004065A6">
        <w:t xml:space="preserve">un aspetto </w:t>
      </w:r>
      <w:r w:rsidR="00D8008B">
        <w:t>cruciale</w:t>
      </w:r>
      <w:r w:rsidR="004065A6">
        <w:t xml:space="preserve"> </w:t>
      </w:r>
      <w:r>
        <w:t>per l’Unione Europea</w:t>
      </w:r>
      <w:r w:rsidR="004065A6">
        <w:t>, così</w:t>
      </w:r>
      <w:r>
        <w:t xml:space="preserve"> come in ogni altra parte del mondo. </w:t>
      </w:r>
      <w:r w:rsidR="004065A6">
        <w:t>O</w:t>
      </w:r>
      <w:r>
        <w:t>ggi</w:t>
      </w:r>
      <w:r w:rsidR="004065A6">
        <w:t>, però,</w:t>
      </w:r>
      <w:r>
        <w:t xml:space="preserve"> voglio concentrarmi sull’Irlanda e</w:t>
      </w:r>
      <w:r w:rsidR="004065A6">
        <w:t>,</w:t>
      </w:r>
      <w:r>
        <w:t xml:space="preserve"> in particolare</w:t>
      </w:r>
      <w:r w:rsidR="004065A6">
        <w:t>,</w:t>
      </w:r>
      <w:r>
        <w:t xml:space="preserve"> su un rapporto pubblicato nel 2023 dal Consiglio </w:t>
      </w:r>
      <w:r w:rsidR="004065A6">
        <w:t>E</w:t>
      </w:r>
      <w:r>
        <w:t xml:space="preserve">conomico e </w:t>
      </w:r>
      <w:r w:rsidR="004065A6">
        <w:t>S</w:t>
      </w:r>
      <w:r>
        <w:t xml:space="preserve">ociale </w:t>
      </w:r>
      <w:r w:rsidR="004065A6">
        <w:t>N</w:t>
      </w:r>
      <w:r>
        <w:t>azionale.</w:t>
      </w:r>
    </w:p>
    <w:p w14:paraId="524411E3" w14:textId="3C960379" w:rsidR="00956CE3" w:rsidRDefault="00956CE3" w:rsidP="00E71A29">
      <w:pPr>
        <w:jc w:val="both"/>
      </w:pPr>
      <w:r>
        <w:t xml:space="preserve">L’argomentazione contenuta in questo rapporto è che non dovremmo puntare solo </w:t>
      </w:r>
      <w:r w:rsidR="004065A6">
        <w:t>su</w:t>
      </w:r>
      <w:r>
        <w:t xml:space="preserve"> cambiamenti tecnici </w:t>
      </w:r>
      <w:r w:rsidR="004065A6">
        <w:t xml:space="preserve">nei singoli </w:t>
      </w:r>
      <w:r>
        <w:t>settori</w:t>
      </w:r>
      <w:r w:rsidR="004065A6">
        <w:t xml:space="preserve"> </w:t>
      </w:r>
      <w:r>
        <w:t xml:space="preserve">– come la riduzione delle emissioni di carbonio, il sequestro del carbonio, il cambiamento del modello di consumo energetico, il miglioramento della qualità nutrizionale degli alimenti, il ripristino della qualità dell’acqua e del suolo, la </w:t>
      </w:r>
      <w:r w:rsidR="004065A6">
        <w:t>tutela del</w:t>
      </w:r>
      <w:r>
        <w:t xml:space="preserve"> </w:t>
      </w:r>
      <w:r w:rsidR="004065A6">
        <w:t xml:space="preserve">benessere </w:t>
      </w:r>
      <w:r>
        <w:t>degli animali, favor</w:t>
      </w:r>
      <w:r w:rsidR="004065A6">
        <w:t xml:space="preserve">ire </w:t>
      </w:r>
      <w:r>
        <w:t xml:space="preserve">la biodiversità e così via. Ciò che </w:t>
      </w:r>
      <w:r w:rsidR="00276907">
        <w:t>occorre</w:t>
      </w:r>
      <w:r>
        <w:t xml:space="preserve">, oltre a questi obiettivi essenziali, è una visione </w:t>
      </w:r>
      <w:r w:rsidR="00276907">
        <w:t xml:space="preserve">a 360 gradi </w:t>
      </w:r>
      <w:r>
        <w:t xml:space="preserve">che ispiri i singoli agricoltori e le comunità agricole a intraprendere un </w:t>
      </w:r>
      <w:r w:rsidR="00276907">
        <w:t xml:space="preserve">percorso </w:t>
      </w:r>
      <w:r>
        <w:t>di cambiamento positivo.</w:t>
      </w:r>
    </w:p>
    <w:p w14:paraId="0F903DB3" w14:textId="1EEF92BE" w:rsidR="00956CE3" w:rsidRDefault="00956CE3" w:rsidP="00E71A29">
      <w:pPr>
        <w:jc w:val="both"/>
      </w:pPr>
      <w:r>
        <w:t xml:space="preserve">Una transizione volta a fornire molteplici beni pubblici non dovrebbe concentrarsi solo sui gestori delle aziende agricole. Ad esempio, sono necessarie ulteriori ricerche sulle implicazioni della transizione per i lavoratori nelle catene di approvvigionamento e per le </w:t>
      </w:r>
      <w:r w:rsidR="00967A93">
        <w:t xml:space="preserve">diverse </w:t>
      </w:r>
      <w:r>
        <w:t>attività a valle. Inevitabilmente ci sono alcuni perdenti relativi in ogni “transizione giusta”. Dovrebbero essere previsti supporti finanziari mirati per i più vulnerabili. Abbiamo bisogno di nuove forme di investimento pubblico nelle infrastrutture abitative e di trasporto.</w:t>
      </w:r>
    </w:p>
    <w:p w14:paraId="79DF21AE" w14:textId="06071409" w:rsidR="00956CE3" w:rsidRDefault="00956CE3" w:rsidP="00E71A29">
      <w:pPr>
        <w:jc w:val="both"/>
      </w:pPr>
      <w:r>
        <w:t>I numerosi fattori e attori coinvolti in un’agenda positiva per il cambiamento richiedono modalità innovative di coinvolgimento delle parti interessate. In definitiva, una transizione volta a fornire molteplici beni pubblici è una questione politica. Per evitare un approccio conflittuale e centrato sulla crisi e ottenere slancio per i cambiamenti necessari, dobbiamo trovare spazi in cui possiamo riunirci per deliberare, tenendo presente l’intero contesto, comprese le questioni relative al</w:t>
      </w:r>
      <w:r w:rsidR="00E93042">
        <w:t>l’alimentazione</w:t>
      </w:r>
      <w:r>
        <w:t xml:space="preserve"> e alla dieta, al</w:t>
      </w:r>
      <w:r w:rsidR="00E93042">
        <w:t xml:space="preserve">la </w:t>
      </w:r>
      <w:r>
        <w:t>sicurezza</w:t>
      </w:r>
      <w:r w:rsidR="00E93042">
        <w:t xml:space="preserve"> alimentare globale</w:t>
      </w:r>
      <w:r>
        <w:t xml:space="preserve">, </w:t>
      </w:r>
      <w:r w:rsidR="00E93042">
        <w:t xml:space="preserve">alle </w:t>
      </w:r>
      <w:r>
        <w:t xml:space="preserve">politiche dell’UE </w:t>
      </w:r>
      <w:r w:rsidR="00E93042">
        <w:t xml:space="preserve">e alla sua legislazione, alla </w:t>
      </w:r>
      <w:r>
        <w:t xml:space="preserve">democrazia </w:t>
      </w:r>
      <w:r w:rsidR="00E93042">
        <w:t xml:space="preserve">a livello </w:t>
      </w:r>
      <w:r>
        <w:t>locale. Parafrasa</w:t>
      </w:r>
      <w:r w:rsidR="00E93042">
        <w:t xml:space="preserve">ndo </w:t>
      </w:r>
      <w:r>
        <w:t>Voltaire</w:t>
      </w:r>
      <w:r w:rsidR="00E93042">
        <w:t>,</w:t>
      </w:r>
      <w:r>
        <w:t xml:space="preserve"> se l’articolo 17 non esistesse, avremmo </w:t>
      </w:r>
      <w:r w:rsidR="00E93042">
        <w:t xml:space="preserve">dovuto </w:t>
      </w:r>
      <w:r>
        <w:t>inventa</w:t>
      </w:r>
      <w:r w:rsidR="00E93042">
        <w:t>rl</w:t>
      </w:r>
      <w:r>
        <w:t>o! (</w:t>
      </w:r>
      <w:proofErr w:type="spellStart"/>
      <w:r w:rsidR="00E93042" w:rsidRPr="00E93042">
        <w:rPr>
          <w:i/>
          <w:iCs/>
        </w:rPr>
        <w:t>s’il</w:t>
      </w:r>
      <w:proofErr w:type="spellEnd"/>
      <w:r w:rsidR="00E93042" w:rsidRPr="00E93042">
        <w:rPr>
          <w:i/>
          <w:iCs/>
        </w:rPr>
        <w:t xml:space="preserve"> </w:t>
      </w:r>
      <w:r w:rsidRPr="00E93042">
        <w:rPr>
          <w:i/>
          <w:iCs/>
        </w:rPr>
        <w:t>n’</w:t>
      </w:r>
      <w:proofErr w:type="spellStart"/>
      <w:r w:rsidRPr="00E93042">
        <w:rPr>
          <w:i/>
          <w:iCs/>
        </w:rPr>
        <w:t>existait</w:t>
      </w:r>
      <w:proofErr w:type="spellEnd"/>
      <w:r w:rsidRPr="00E93042">
        <w:rPr>
          <w:i/>
          <w:iCs/>
        </w:rPr>
        <w:t xml:space="preserve"> </w:t>
      </w:r>
      <w:proofErr w:type="spellStart"/>
      <w:r w:rsidRPr="00E93042">
        <w:rPr>
          <w:i/>
          <w:iCs/>
        </w:rPr>
        <w:t>pas</w:t>
      </w:r>
      <w:proofErr w:type="spellEnd"/>
      <w:r w:rsidRPr="00E93042">
        <w:rPr>
          <w:i/>
          <w:iCs/>
        </w:rPr>
        <w:t xml:space="preserve">, il </w:t>
      </w:r>
      <w:proofErr w:type="spellStart"/>
      <w:r w:rsidRPr="00E93042">
        <w:rPr>
          <w:i/>
          <w:iCs/>
        </w:rPr>
        <w:t>aurait</w:t>
      </w:r>
      <w:proofErr w:type="spellEnd"/>
      <w:r w:rsidRPr="00E93042">
        <w:rPr>
          <w:i/>
          <w:iCs/>
        </w:rPr>
        <w:t xml:space="preserve"> </w:t>
      </w:r>
      <w:proofErr w:type="spellStart"/>
      <w:r w:rsidRPr="00E93042">
        <w:rPr>
          <w:i/>
          <w:iCs/>
        </w:rPr>
        <w:t>fallu</w:t>
      </w:r>
      <w:proofErr w:type="spellEnd"/>
      <w:r w:rsidRPr="00E93042">
        <w:rPr>
          <w:i/>
          <w:iCs/>
        </w:rPr>
        <w:t xml:space="preserve"> l’</w:t>
      </w:r>
      <w:proofErr w:type="spellStart"/>
      <w:r w:rsidRPr="00E93042">
        <w:rPr>
          <w:i/>
          <w:iCs/>
        </w:rPr>
        <w:t>inventer</w:t>
      </w:r>
      <w:proofErr w:type="spellEnd"/>
      <w:r w:rsidRPr="00E93042">
        <w:rPr>
          <w:i/>
          <w:iCs/>
        </w:rPr>
        <w:t>!)</w:t>
      </w:r>
    </w:p>
    <w:p w14:paraId="4EF96C54" w14:textId="77777777" w:rsidR="00956CE3" w:rsidRPr="00956CE3" w:rsidRDefault="00956CE3" w:rsidP="00E71A29">
      <w:pPr>
        <w:jc w:val="both"/>
        <w:rPr>
          <w:b/>
          <w:bCs/>
        </w:rPr>
      </w:pPr>
      <w:r w:rsidRPr="00956CE3">
        <w:rPr>
          <w:b/>
          <w:bCs/>
        </w:rPr>
        <w:t>Principi e raccomandazioni</w:t>
      </w:r>
    </w:p>
    <w:p w14:paraId="7322AF48" w14:textId="58984BE0" w:rsidR="00956CE3" w:rsidRDefault="00956CE3" w:rsidP="00E71A29">
      <w:pPr>
        <w:jc w:val="both"/>
      </w:pPr>
      <w:r>
        <w:t>Per concludere</w:t>
      </w:r>
      <w:r w:rsidR="00E93042">
        <w:t>,</w:t>
      </w:r>
      <w:r>
        <w:t xml:space="preserve"> offro tre principi e due raccomandazioni:</w:t>
      </w:r>
    </w:p>
    <w:p w14:paraId="0915F30B" w14:textId="1C0DC594" w:rsidR="00956CE3" w:rsidRDefault="00956CE3" w:rsidP="00E71A29">
      <w:pPr>
        <w:jc w:val="both"/>
      </w:pPr>
      <w:r>
        <w:t xml:space="preserve">i. Ecologia e sicurezza alimentare vanno di pari passo: dobbiamo condividere i beni primari della vita, accettando al tempo stesso la responsabilità a lungo termine di promuovere le condizioni ecologiche da cui </w:t>
      </w:r>
      <w:r w:rsidR="00E93042">
        <w:t xml:space="preserve">la vita </w:t>
      </w:r>
      <w:r>
        <w:t>dipende</w:t>
      </w:r>
      <w:r w:rsidR="00E93042">
        <w:t>;</w:t>
      </w:r>
    </w:p>
    <w:p w14:paraId="2A199FCD" w14:textId="776113C3" w:rsidR="00956CE3" w:rsidRDefault="00956CE3" w:rsidP="00E71A29">
      <w:pPr>
        <w:jc w:val="both"/>
      </w:pPr>
      <w:r>
        <w:t xml:space="preserve">ii. Una transizione verso la fornitura di molteplici beni pubblici richiede nuove modalità di coinvolgimento delle parti interessate in cui gli approcci basati sul luogo </w:t>
      </w:r>
      <w:r w:rsidR="00E93042">
        <w:t>e</w:t>
      </w:r>
      <w:r>
        <w:t xml:space="preserve"> </w:t>
      </w:r>
      <w:r w:rsidR="00E93042">
        <w:t xml:space="preserve">gli approcci </w:t>
      </w:r>
      <w:r>
        <w:t xml:space="preserve">localizzati </w:t>
      </w:r>
      <w:r w:rsidR="00E93042">
        <w:t>risulta</w:t>
      </w:r>
      <w:r>
        <w:t>no centrali</w:t>
      </w:r>
      <w:r w:rsidR="00E93042">
        <w:t>;</w:t>
      </w:r>
    </w:p>
    <w:p w14:paraId="341434CB" w14:textId="200910BD" w:rsidR="00956CE3" w:rsidRDefault="00956CE3" w:rsidP="00E71A29">
      <w:pPr>
        <w:jc w:val="both"/>
      </w:pPr>
      <w:r>
        <w:lastRenderedPageBreak/>
        <w:t xml:space="preserve">iii. </w:t>
      </w:r>
      <w:r w:rsidR="00E93042">
        <w:t>In un</w:t>
      </w:r>
      <w:r>
        <w:t xml:space="preserve">’economia </w:t>
      </w:r>
      <w:r w:rsidR="00E93042">
        <w:t xml:space="preserve">di </w:t>
      </w:r>
      <w:r>
        <w:t>più ampi</w:t>
      </w:r>
      <w:r w:rsidR="00E93042">
        <w:t>o respiro</w:t>
      </w:r>
      <w:r>
        <w:t>, come nel caso dell’agricoltura, qualsiasi dicotomia tra attività basate sul profitto e attività senza scopo di lucro non rende piena giustizia alla realtà, né offre un’adeguata direzione pratica per il futuro.</w:t>
      </w:r>
    </w:p>
    <w:p w14:paraId="00181425" w14:textId="77777777" w:rsidR="00956CE3" w:rsidRDefault="00956CE3" w:rsidP="00E71A29">
      <w:pPr>
        <w:jc w:val="both"/>
      </w:pPr>
      <w:r>
        <w:t>In questa prospettiva, le mie due raccomandazioni pratiche sono le seguenti:</w:t>
      </w:r>
    </w:p>
    <w:p w14:paraId="689406DE" w14:textId="577CBEE9" w:rsidR="00956CE3" w:rsidRDefault="00956CE3" w:rsidP="00E71A29">
      <w:pPr>
        <w:jc w:val="both"/>
      </w:pPr>
      <w:r>
        <w:t xml:space="preserve">1. Dovremmo fare un uso creativo dell’articolo 17 del TFUE per creare </w:t>
      </w:r>
      <w:r w:rsidR="00E93042">
        <w:t>in</w:t>
      </w:r>
      <w:r>
        <w:t>quadr</w:t>
      </w:r>
      <w:r w:rsidR="00E93042">
        <w:t>ament</w:t>
      </w:r>
      <w:r>
        <w:t>i di dialogo multilateral</w:t>
      </w:r>
      <w:r w:rsidR="00E93042">
        <w:t xml:space="preserve">e </w:t>
      </w:r>
      <w:r>
        <w:t>a livello di Stat</w:t>
      </w:r>
      <w:r w:rsidR="00E93042">
        <w:t xml:space="preserve">i </w:t>
      </w:r>
      <w:r>
        <w:t>membr</w:t>
      </w:r>
      <w:r w:rsidR="00E93042">
        <w:t>i</w:t>
      </w:r>
      <w:r>
        <w:t>,</w:t>
      </w:r>
      <w:r w:rsidR="00E93042">
        <w:t xml:space="preserve"> a livello</w:t>
      </w:r>
      <w:r>
        <w:t xml:space="preserve"> regionale e </w:t>
      </w:r>
      <w:r w:rsidR="00E93042">
        <w:t xml:space="preserve">a livello </w:t>
      </w:r>
      <w:r>
        <w:t>locale</w:t>
      </w:r>
      <w:r w:rsidR="00E93042">
        <w:t>.</w:t>
      </w:r>
    </w:p>
    <w:p w14:paraId="50CF2FAF" w14:textId="690DFAF6" w:rsidR="00956CE3" w:rsidRDefault="00956CE3" w:rsidP="00E71A29">
      <w:pPr>
        <w:jc w:val="both"/>
      </w:pPr>
      <w:r>
        <w:t xml:space="preserve">2. Questi </w:t>
      </w:r>
      <w:r w:rsidR="00A00A46">
        <w:t>inquadramenti</w:t>
      </w:r>
      <w:r>
        <w:t xml:space="preserve"> di dialogo dovrebbero essere supportati da un programma di ricerca volto a chiarire le numerose situazioni in cui sono in gioco sia considerazioni di profitto che </w:t>
      </w:r>
      <w:r w:rsidR="00A00A46">
        <w:t>senza scopo di lucro</w:t>
      </w:r>
      <w:r>
        <w:t xml:space="preserve">. Questo nuovo programma di ricerca dovrebbe contribuire allo sviluppo di quadri normativi, codici di condotta pertinenti a livello governativo e nuovi parametri ambientali, sociali e di </w:t>
      </w:r>
      <w:r w:rsidRPr="00E71A29">
        <w:rPr>
          <w:i/>
          <w:iCs/>
        </w:rPr>
        <w:t>governance</w:t>
      </w:r>
      <w:r>
        <w:t xml:space="preserve"> (ESG).</w:t>
      </w:r>
    </w:p>
    <w:sectPr w:rsidR="00956C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E3"/>
    <w:rsid w:val="001B1528"/>
    <w:rsid w:val="00225F40"/>
    <w:rsid w:val="00270AC5"/>
    <w:rsid w:val="00276907"/>
    <w:rsid w:val="00346FC1"/>
    <w:rsid w:val="004065A6"/>
    <w:rsid w:val="0049173C"/>
    <w:rsid w:val="00777F80"/>
    <w:rsid w:val="00956CE3"/>
    <w:rsid w:val="00967A93"/>
    <w:rsid w:val="009B45F8"/>
    <w:rsid w:val="00A00A46"/>
    <w:rsid w:val="00D1050B"/>
    <w:rsid w:val="00D8008B"/>
    <w:rsid w:val="00E71A29"/>
    <w:rsid w:val="00E9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4C4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56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56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56C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56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56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56C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56C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56C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56C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56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56C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56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56CE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56CE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56CE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56CE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56CE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56CE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56C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56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56C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56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56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56CE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56CE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56CE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56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56CE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56CE3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56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56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56C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56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56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56C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56C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56C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56C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56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56C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56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56CE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56CE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56CE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56CE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56CE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56CE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56C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56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56C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56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56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56CE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56CE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56CE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56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56CE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56C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5917</Characters>
  <Application>Microsoft Office Word</Application>
  <DocSecurity>0</DocSecurity>
  <Lines>49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.</cp:lastModifiedBy>
  <cp:revision>2</cp:revision>
  <dcterms:created xsi:type="dcterms:W3CDTF">2024-03-13T08:02:00Z</dcterms:created>
  <dcterms:modified xsi:type="dcterms:W3CDTF">2024-03-13T08:02:00Z</dcterms:modified>
</cp:coreProperties>
</file>