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F9D" w:rsidRPr="00B80F9D" w:rsidRDefault="00B80F9D" w:rsidP="00B80F9D">
      <w:pPr>
        <w:spacing w:line="276" w:lineRule="auto"/>
        <w:jc w:val="center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bookmarkStart w:id="0" w:name="_GoBack"/>
      <w:r w:rsidRPr="00B80F9D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Webinar “Called to Unity – Towards an Ecology of relationships</w:t>
      </w:r>
    </w:p>
    <w:p w:rsidR="002C620A" w:rsidRPr="00B80F9D" w:rsidRDefault="00B80F9D" w:rsidP="00B80F9D">
      <w:pPr>
        <w:spacing w:line="276" w:lineRule="auto"/>
        <w:jc w:val="center"/>
        <w:rPr>
          <w:rFonts w:asciiTheme="majorHAnsi" w:hAnsiTheme="majorHAnsi" w:cstheme="majorHAnsi"/>
          <w:b/>
          <w:color w:val="000000" w:themeColor="text1"/>
          <w:sz w:val="28"/>
          <w:szCs w:val="28"/>
        </w:rPr>
      </w:pPr>
      <w:r w:rsidRPr="00B80F9D">
        <w:rPr>
          <w:rFonts w:asciiTheme="majorHAnsi" w:hAnsiTheme="majorHAnsi" w:cstheme="majorHAnsi"/>
          <w:b/>
          <w:color w:val="000000" w:themeColor="text1"/>
          <w:sz w:val="28"/>
          <w:szCs w:val="28"/>
        </w:rPr>
        <w:t>Together for Europe, 2 March 2024</w:t>
      </w:r>
    </w:p>
    <w:p w:rsidR="002C620A" w:rsidRPr="002C620A" w:rsidRDefault="002C620A" w:rsidP="002C620A">
      <w:pPr>
        <w:rPr>
          <w:rFonts w:ascii="Times New Roman" w:eastAsia="Times New Roman" w:hAnsi="Times New Roman" w:cs="Times New Roman"/>
          <w:kern w:val="0"/>
          <w:lang w:val="en-GB" w:eastAsia="it-IT"/>
          <w14:ligatures w14:val="none"/>
        </w:rPr>
      </w:pPr>
      <w:r w:rsidRPr="002C620A">
        <w:rPr>
          <w:rFonts w:ascii="Noto Sans" w:eastAsia="Times New Roman" w:hAnsi="Noto Sans" w:cs="Times New Roman"/>
          <w:color w:val="444444"/>
          <w:kern w:val="0"/>
          <w:sz w:val="21"/>
          <w:szCs w:val="21"/>
          <w:shd w:val="clear" w:color="auto" w:fill="FFFFFF"/>
          <w:lang w:val="en-GB" w:eastAsia="it-IT"/>
          <w14:ligatures w14:val="none"/>
        </w:rPr>
        <w:t> </w:t>
      </w:r>
    </w:p>
    <w:bookmarkEnd w:id="0"/>
    <w:p w:rsidR="002C620A" w:rsidRPr="002C620A" w:rsidRDefault="002C620A" w:rsidP="002C620A">
      <w:pPr>
        <w:shd w:val="clear" w:color="auto" w:fill="FFFFFF"/>
        <w:rPr>
          <w:rFonts w:ascii="Noto Sans" w:eastAsia="Times New Roman" w:hAnsi="Noto Sans" w:cs="Times New Roman"/>
          <w:color w:val="444444"/>
          <w:kern w:val="0"/>
          <w:sz w:val="21"/>
          <w:szCs w:val="21"/>
          <w:lang w:val="en-GB" w:eastAsia="it-IT"/>
          <w14:ligatures w14:val="none"/>
        </w:rPr>
      </w:pPr>
      <w:r w:rsidRPr="002C620A">
        <w:rPr>
          <w:rFonts w:ascii="Noto Sans" w:eastAsia="Times New Roman" w:hAnsi="Noto Sans" w:cs="Times New Roman"/>
          <w:color w:val="444444"/>
          <w:kern w:val="0"/>
          <w:sz w:val="21"/>
          <w:szCs w:val="21"/>
          <w:lang w:val="en-GB" w:eastAsia="it-IT"/>
          <w14:ligatures w14:val="none"/>
        </w:rPr>
        <w:t> </w:t>
      </w:r>
    </w:p>
    <w:p w:rsidR="002C620A" w:rsidRPr="00B80F9D" w:rsidRDefault="002C620A" w:rsidP="00894B27">
      <w:pPr>
        <w:spacing w:line="276" w:lineRule="auto"/>
        <w:rPr>
          <w:rFonts w:asciiTheme="majorHAnsi" w:hAnsiTheme="majorHAnsi" w:cstheme="majorHAnsi"/>
          <w:color w:val="000000" w:themeColor="text1"/>
          <w:sz w:val="28"/>
          <w:szCs w:val="28"/>
          <w:u w:val="single"/>
          <w:lang w:val="en-GB"/>
        </w:rPr>
      </w:pPr>
    </w:p>
    <w:p w:rsidR="002C620A" w:rsidRDefault="002C620A" w:rsidP="00894B27">
      <w:pPr>
        <w:spacing w:line="276" w:lineRule="auto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</w:p>
    <w:p w:rsidR="00894B27" w:rsidRPr="006D6CE2" w:rsidRDefault="00B80F9D" w:rsidP="00894B27">
      <w:pPr>
        <w:spacing w:line="276" w:lineRule="auto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r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R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 xml:space="preserve">emarks by </w:t>
      </w:r>
      <w:proofErr w:type="spellStart"/>
      <w:r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Prof.</w:t>
      </w:r>
      <w:proofErr w:type="spellEnd"/>
      <w:r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 xml:space="preserve"> 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 xml:space="preserve">Philip </w:t>
      </w:r>
      <w:proofErr w:type="spellStart"/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McDonagh</w:t>
      </w:r>
      <w:proofErr w:type="spellEnd"/>
      <w:r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, Dublin City University</w:t>
      </w:r>
    </w:p>
    <w:p w:rsidR="00D257A0" w:rsidRPr="006D6CE2" w:rsidRDefault="00D257A0" w:rsidP="00894B27">
      <w:pPr>
        <w:spacing w:line="276" w:lineRule="auto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</w:p>
    <w:p w:rsidR="00D257A0" w:rsidRPr="006D6CE2" w:rsidRDefault="00D257A0" w:rsidP="00894B27">
      <w:p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I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plan to say something about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Article 17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and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the Green Deal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, respectively. Then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I will argue that 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the methodology of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Article 17 can prove helpful in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promoting a just transition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. Finally, I will offer some specific 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principles and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recommendations. </w:t>
      </w:r>
    </w:p>
    <w:p w:rsidR="00F34CA3" w:rsidRPr="006D6CE2" w:rsidRDefault="00F34CA3" w:rsidP="00894B27">
      <w:p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F34CA3" w:rsidRPr="006D6CE2" w:rsidRDefault="00F34CA3" w:rsidP="00894B27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Article 17</w:t>
      </w:r>
    </w:p>
    <w:p w:rsidR="00D257A0" w:rsidRPr="006D6CE2" w:rsidRDefault="00D257A0" w:rsidP="00894B27">
      <w:pPr>
        <w:spacing w:line="276" w:lineRule="auto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</w:p>
    <w:p w:rsidR="00D257A0" w:rsidRPr="006D6CE2" w:rsidRDefault="00D257A0" w:rsidP="006D6CE2">
      <w:pPr>
        <w:pStyle w:val="Body"/>
        <w:widowControl w:val="0"/>
        <w:spacing w:line="276" w:lineRule="auto"/>
        <w:jc w:val="both"/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</w:pPr>
      <w:r w:rsidRPr="006D6CE2"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  <w:t>Article 17 of the Treaty on the Functioning of the European Union (TFEU)</w:t>
      </w:r>
      <w:r w:rsidR="00894B27" w:rsidRPr="006D6CE2"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  <w:t xml:space="preserve"> </w:t>
      </w:r>
      <w:r w:rsidRPr="006D6CE2"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  <w:t>provides as follows</w:t>
      </w:r>
      <w:r w:rsidR="00243F2C" w:rsidRPr="006D6CE2"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  <w:t xml:space="preserve"> in its third paragraph:</w:t>
      </w:r>
      <w:r w:rsidR="006D6CE2"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  <w:t xml:space="preserve"> ‘</w:t>
      </w:r>
      <w:r w:rsidRPr="006D6CE2">
        <w:rPr>
          <w:rStyle w:val="Numeropagina"/>
          <w:rFonts w:asciiTheme="majorHAnsi" w:eastAsia="Calibri" w:hAnsiTheme="majorHAnsi" w:cstheme="majorHAnsi"/>
          <w:color w:val="000000" w:themeColor="text1"/>
          <w:sz w:val="28"/>
          <w:szCs w:val="28"/>
          <w:lang w:val="en-GB"/>
        </w:rPr>
        <w:t xml:space="preserve">Recognising their identity and their specific contribution, the Union shall maintain an open, transparent and regular dialogue with these churches and organisations. </w:t>
      </w:r>
      <w:r w:rsidR="006D6CE2">
        <w:rPr>
          <w:rStyle w:val="Numeropagina"/>
          <w:rFonts w:asciiTheme="majorHAnsi" w:eastAsia="Calibri" w:hAnsiTheme="majorHAnsi" w:cstheme="majorHAnsi"/>
          <w:color w:val="000000" w:themeColor="text1"/>
          <w:sz w:val="28"/>
          <w:szCs w:val="28"/>
          <w:lang w:val="en-GB"/>
        </w:rPr>
        <w:t>‘</w:t>
      </w:r>
    </w:p>
    <w:p w:rsidR="00D257A0" w:rsidRPr="006D6CE2" w:rsidRDefault="00D257A0" w:rsidP="00894B27">
      <w:pPr>
        <w:pStyle w:val="Body"/>
        <w:spacing w:line="276" w:lineRule="auto"/>
        <w:jc w:val="both"/>
        <w:rPr>
          <w:rStyle w:val="Numeropagina"/>
          <w:rFonts w:asciiTheme="majorHAnsi" w:hAnsiTheme="majorHAnsi" w:cstheme="majorHAnsi"/>
          <w:color w:val="000000" w:themeColor="text1"/>
          <w:sz w:val="28"/>
          <w:szCs w:val="28"/>
          <w:lang w:val="en-GB"/>
        </w:rPr>
      </w:pPr>
    </w:p>
    <w:p w:rsidR="00D257A0" w:rsidRPr="006D6CE2" w:rsidRDefault="00D257A0" w:rsidP="00894B27">
      <w:pPr>
        <w:pStyle w:val="Corpotesto"/>
        <w:spacing w:before="100" w:line="276" w:lineRule="auto"/>
        <w:ind w:right="125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Article 17 is the world’s leading example of a commitment by public authorities to engage in a structured dialogue with churches and faith communities on current political issues.</w:t>
      </w:r>
      <w:r w:rsidR="00E10FCD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The “open, transparent, and regular dialogue” envisaged under the Article supports the objective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s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of the recent Conference on the Future of Europe (</w:t>
      </w:r>
      <w:proofErr w:type="spellStart"/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CoFoE</w:t>
      </w:r>
      <w:proofErr w:type="spellEnd"/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), which 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aimed to </w:t>
      </w:r>
      <w:r w:rsidR="00E10FCD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engag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e</w:t>
      </w:r>
      <w:r w:rsidR="00E10FCD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citizens in shaping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our future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. 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Article 17 captures in 21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vertAlign w:val="superscript"/>
        </w:rPr>
        <w:t>st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century terms the vision of a values-led society that Europe’s foundational thinkers of the post-war period took for granted. </w:t>
      </w:r>
    </w:p>
    <w:p w:rsidR="00E10FCD" w:rsidRPr="006D6CE2" w:rsidRDefault="00E10FCD" w:rsidP="00894B27">
      <w:pPr>
        <w:pStyle w:val="Corpotesto"/>
        <w:spacing w:before="100" w:line="276" w:lineRule="auto"/>
        <w:ind w:right="125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F34CA3" w:rsidRPr="006D6CE2" w:rsidRDefault="00F34CA3" w:rsidP="00894B27">
      <w:pPr>
        <w:pStyle w:val="Paragrafoelenco"/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The Green Deal</w:t>
      </w:r>
    </w:p>
    <w:p w:rsidR="00F34CA3" w:rsidRPr="006D6CE2" w:rsidRDefault="00E10FCD" w:rsidP="006D6CE2">
      <w:pPr>
        <w:spacing w:before="100" w:beforeAutospacing="1" w:after="100" w:afterAutospacing="1"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I turn now to the Green Deal. 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This is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the world’s most ambitious policy framework to shape the future of agriculture in the light of wider goals.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It is also </w:t>
      </w:r>
      <w:r w:rsidR="00CB7930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our 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biggest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project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in the EU</w:t>
      </w:r>
      <w:r w:rsidR="00CB7930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, with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far-reaching consequences for almost all parts of society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– an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enormous achievement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.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Nevertheless, there is evidence that a significant part of the farmer population within the European Union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lastRenderedPageBreak/>
        <w:t>genuinely struggles to identify with the process of transition.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>T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here have been farmers’ protests throughout Europe since the summer of 2022.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In the background are some disturbing demographic statistics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.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In 2020 there were 9,1 million farms in the EU. But as compared to 2005, there were far fewer farms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– a loss of approximately 5 million. In 2020, more than half of all EU farm managers were at least 55 years of age (around one third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were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at least 65), and only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a very small number 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were young farmer managers (defined as those under the age of 40). </w:t>
      </w:r>
      <w:r w:rsidR="00CB7930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I</w:t>
      </w:r>
      <w:r w:rsidR="00F34CA3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n almost every EU Member State people employed in the agricultural sector have far more working hours per week on average than the rest of the work force.</w:t>
      </w:r>
    </w:p>
    <w:p w:rsidR="003B2E7A" w:rsidRPr="006D6CE2" w:rsidRDefault="00F34CA3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European farmers are confronted with an enormous set of challenges –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complex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legislation, increased conditionality for financial support, and </w:t>
      </w:r>
      <w:r w:rsidR="00381D20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inflation</w:t>
      </w:r>
      <w:r w:rsidR="003B2E7A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.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Perhaps it is not surprising that the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number of small and medium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-sized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farms 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and of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young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farm managers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is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sharply decreasing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.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We </w:t>
      </w:r>
      <w:r w:rsidR="00243F2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who live in cities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need to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listen, to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understand the attachment many farmers feel to their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traditions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and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to situate the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farming communities’ social and cultural needs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in a wider political context.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</w:p>
    <w:p w:rsidR="003B2E7A" w:rsidRPr="006D6CE2" w:rsidRDefault="003B2E7A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</w:pPr>
    </w:p>
    <w:p w:rsidR="003B2E7A" w:rsidRPr="006D6CE2" w:rsidRDefault="003B2E7A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</w:pPr>
    </w:p>
    <w:p w:rsidR="00381D20" w:rsidRPr="006D6CE2" w:rsidRDefault="00381D20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  <w:lang w:val="en-I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  <w:lang w:val="en-IE"/>
        </w:rPr>
        <w:t>The relevance of Article 17</w:t>
      </w:r>
    </w:p>
    <w:p w:rsidR="00F34CA3" w:rsidRPr="006D6CE2" w:rsidRDefault="00F34CA3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</w:pPr>
    </w:p>
    <w:p w:rsidR="00E10FCD" w:rsidRPr="006D6CE2" w:rsidRDefault="00E10FCD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The FAO has identified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Costa Rica and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Ireland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as countries which are developing credible national processes of climate-related transition. The change in Costa Rica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is worth noting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: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it includes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the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reduction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of military expenditure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,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3B2E7A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a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salient 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issue for the European Union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as in every other part of the world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. 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But t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oday</w:t>
      </w:r>
      <w:r w:rsidR="003B2E7A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, I want to focus on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3B2E7A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Ireland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and in particular 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on a report published in 2023 by the National Economic and Social Council.</w:t>
      </w:r>
    </w:p>
    <w:p w:rsidR="00E10FCD" w:rsidRPr="006D6CE2" w:rsidRDefault="00E10FCD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</w:pPr>
    </w:p>
    <w:p w:rsidR="00E10FCD" w:rsidRPr="006D6CE2" w:rsidRDefault="00E10FCD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The 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argument in this report is that we should not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aim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only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at technical changes in separate sectors –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such as </w:t>
      </w:r>
      <w:r w:rsidR="002B0051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reducing carbon emissions, sequestering carbon, changing the pattern of energy consumption, improving the nutritional quality of food, restoring water and soil quality, protecting animal welfare, enabling biodiversity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and so on. 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What is needed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in addition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to these essential goals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is an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lastRenderedPageBreak/>
        <w:t xml:space="preserve">overarching vision that will inspire individual farmers and farming communities to embark on a journey of positive change. </w:t>
      </w:r>
    </w:p>
    <w:p w:rsidR="00C371B6" w:rsidRPr="006D6CE2" w:rsidRDefault="00C371B6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82037C" w:rsidRPr="006D6CE2" w:rsidRDefault="00E10FCD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A transition to deliver multiple public goods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should not focus only on the managers of farming businesses.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For example, more research is needed on the implications of transition for workers in the supply chains and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for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downstream activity.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I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nevitably there are some relative losers in a</w:t>
      </w:r>
      <w:r w:rsidR="00914F65">
        <w:rPr>
          <w:rFonts w:asciiTheme="majorHAnsi" w:hAnsiTheme="majorHAnsi" w:cstheme="majorHAnsi"/>
          <w:color w:val="000000" w:themeColor="text1"/>
          <w:sz w:val="28"/>
          <w:szCs w:val="28"/>
        </w:rPr>
        <w:t>ny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‘just transition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.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’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T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argeted financial supports should be in place for the most vulnerable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.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We need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new forms of public investment in housing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and transport infrastructure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.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</w:t>
      </w:r>
    </w:p>
    <w:p w:rsidR="00C371B6" w:rsidRPr="006D6CE2" w:rsidRDefault="00C371B6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</w:pPr>
    </w:p>
    <w:p w:rsidR="00E10FCD" w:rsidRPr="002C620A" w:rsidRDefault="00E10FCD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fr-FR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The many factors and actors involved </w:t>
      </w:r>
      <w:r w:rsidR="00914F65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in a benign agenda for change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call for innovative ways of engaging with stakeholders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.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Ultimately, a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transition to deliver multiple public goods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is a political question. To avoid a conflictual, crisis-centred approach, and gain traction for the changes that are required, we need to find spaces in which </w:t>
      </w:r>
      <w:r w:rsidR="00914F65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we can come together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to deliberate</w:t>
      </w:r>
      <w:r w:rsidR="00914F65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, bearing in mind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the </w:t>
      </w:r>
      <w:r w:rsidR="00914F65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whole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context - including issues around food and diet, global food security, EU policies and legislation, and local democracy. </w:t>
      </w:r>
      <w:r w:rsidR="00914F65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914F65" w:rsidRPr="002C620A">
        <w:rPr>
          <w:rFonts w:asciiTheme="majorHAnsi" w:hAnsiTheme="majorHAnsi" w:cstheme="majorHAnsi"/>
          <w:color w:val="000000" w:themeColor="text1"/>
          <w:sz w:val="28"/>
          <w:szCs w:val="28"/>
          <w:lang w:val="fr-FR"/>
        </w:rPr>
        <w:t xml:space="preserve">To paraphrase Voltaire – if Article 17 </w:t>
      </w:r>
      <w:r w:rsidR="00914F65" w:rsidRPr="002C620A">
        <w:rPr>
          <w:rFonts w:asciiTheme="majorHAnsi" w:hAnsiTheme="majorHAnsi" w:cstheme="majorHAnsi"/>
          <w:i/>
          <w:iCs/>
          <w:color w:val="000000" w:themeColor="text1"/>
          <w:sz w:val="28"/>
          <w:szCs w:val="28"/>
          <w:lang w:val="fr-FR"/>
        </w:rPr>
        <w:t>n’existait pas, il aurait fallu l’inventer</w:t>
      </w:r>
      <w:r w:rsidR="00914F65" w:rsidRPr="002C620A">
        <w:rPr>
          <w:rFonts w:asciiTheme="majorHAnsi" w:hAnsiTheme="majorHAnsi" w:cstheme="majorHAnsi"/>
          <w:color w:val="000000" w:themeColor="text1"/>
          <w:sz w:val="28"/>
          <w:szCs w:val="28"/>
          <w:lang w:val="fr-FR"/>
        </w:rPr>
        <w:t>!</w:t>
      </w:r>
    </w:p>
    <w:p w:rsidR="0082037C" w:rsidRPr="002C620A" w:rsidRDefault="0082037C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lang w:val="fr-FR"/>
        </w:rPr>
      </w:pPr>
    </w:p>
    <w:p w:rsidR="0082037C" w:rsidRPr="006D6CE2" w:rsidRDefault="0082037C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  <w:t>Principles and recommendations</w:t>
      </w:r>
    </w:p>
    <w:p w:rsidR="0082037C" w:rsidRPr="006D6CE2" w:rsidRDefault="0082037C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E10FCD" w:rsidRPr="006D6CE2" w:rsidRDefault="0082037C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To conclude I offer three principles and two recommendations</w:t>
      </w:r>
      <w:r w:rsidR="003F00A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:</w:t>
      </w:r>
    </w:p>
    <w:p w:rsidR="00F747B3" w:rsidRPr="006D6CE2" w:rsidRDefault="00F747B3" w:rsidP="00894B27">
      <w:pPr>
        <w:pStyle w:val="DCUBodycopy"/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3F00A7" w:rsidRPr="006D6CE2" w:rsidRDefault="003F00A7" w:rsidP="00894B27">
      <w:pPr>
        <w:pStyle w:val="DCUBodycopy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  <w:lang w:val="en-IE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Ecology and food security go together: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we need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to shar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e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 xml:space="preserve"> the primary goods of life while also accepting a longer-term responsibility to promote the ecological conditions on which life depends</w:t>
      </w:r>
    </w:p>
    <w:p w:rsidR="00E10FCD" w:rsidRPr="006D6CE2" w:rsidRDefault="00E10FCD" w:rsidP="00894B27">
      <w:pPr>
        <w:pStyle w:val="DCUBodycopy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A transition to deliver multiple public goods </w:t>
      </w:r>
      <w:r w:rsidR="0082037C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>requires new ways of engaging with stakeholders</w:t>
      </w:r>
      <w:r w:rsidR="003F00A7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 in which place-based or localized approaches are central</w:t>
      </w:r>
    </w:p>
    <w:p w:rsidR="007E3ED4" w:rsidRPr="006D6CE2" w:rsidRDefault="003F00A7" w:rsidP="00894B27">
      <w:pPr>
        <w:pStyle w:val="DCUBodycopy"/>
        <w:numPr>
          <w:ilvl w:val="0"/>
          <w:numId w:val="7"/>
        </w:numPr>
        <w:spacing w:before="100" w:line="276" w:lineRule="auto"/>
        <w:ind w:right="125"/>
        <w:contextualSpacing/>
        <w:jc w:val="both"/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US"/>
        </w:rPr>
        <w:t xml:space="preserve">In the wider economy, as in farming,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any dichotomy between profit-based activities and non-profit activities does not do full justice to reality, or offer adequate practical direction for the future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  <w:lang w:val="en-IE"/>
        </w:rPr>
        <w:t>.</w:t>
      </w:r>
    </w:p>
    <w:p w:rsidR="003F00A7" w:rsidRPr="006D6CE2" w:rsidRDefault="003F00A7" w:rsidP="00894B27">
      <w:pPr>
        <w:spacing w:line="276" w:lineRule="auto"/>
        <w:contextualSpacing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7E3ED4" w:rsidRPr="006D6CE2" w:rsidRDefault="00914F65" w:rsidP="00894B27">
      <w:pPr>
        <w:spacing w:line="276" w:lineRule="auto"/>
        <w:contextualSpacing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  <w:r>
        <w:rPr>
          <w:rFonts w:asciiTheme="majorHAnsi" w:hAnsiTheme="majorHAnsi" w:cstheme="majorHAnsi"/>
          <w:color w:val="000000" w:themeColor="text1"/>
          <w:sz w:val="28"/>
          <w:szCs w:val="28"/>
        </w:rPr>
        <w:t>In this perspective, m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y </w:t>
      </w:r>
      <w:r w:rsidR="007E3ED4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two practical recommendations are as follows:</w:t>
      </w:r>
    </w:p>
    <w:p w:rsidR="007E3ED4" w:rsidRPr="006D6CE2" w:rsidRDefault="007E3ED4" w:rsidP="00894B27">
      <w:pPr>
        <w:spacing w:line="276" w:lineRule="auto"/>
        <w:contextualSpacing/>
        <w:jc w:val="both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:rsidR="007E3ED4" w:rsidRPr="006D6CE2" w:rsidRDefault="007E3ED4" w:rsidP="00894B27">
      <w:pPr>
        <w:pStyle w:val="Paragrafoelenco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</w:pP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lastRenderedPageBreak/>
        <w:t xml:space="preserve">We should </w:t>
      </w:r>
      <w:r w:rsidR="00C371B6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make creative use of 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Article 17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>, TFEU,</w:t>
      </w:r>
      <w:r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="00894B27" w:rsidRP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to </w:t>
      </w:r>
      <w:r w:rsidR="006D6CE2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create </w:t>
      </w:r>
      <w:r w:rsidR="00894B27" w:rsidRPr="006D6CE2"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  <w:t xml:space="preserve">multi-stakeholder frameworks for dialogue  </w:t>
      </w:r>
      <w:r w:rsidRPr="006D6CE2"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  <w:t xml:space="preserve">at member State level, </w:t>
      </w:r>
      <w:r w:rsidR="00894B27" w:rsidRPr="006D6CE2"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  <w:t xml:space="preserve">regional level, and </w:t>
      </w:r>
      <w:r w:rsidR="003F00A7" w:rsidRPr="006D6CE2"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  <w:t>local level</w:t>
      </w:r>
      <w:r w:rsidR="00894B27" w:rsidRPr="006D6CE2">
        <w:rPr>
          <w:rStyle w:val="None"/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</w:p>
    <w:p w:rsidR="00D257A0" w:rsidRPr="006D6CE2" w:rsidRDefault="00894B27" w:rsidP="00894B27">
      <w:pPr>
        <w:pStyle w:val="Paragrafoelenco"/>
        <w:numPr>
          <w:ilvl w:val="0"/>
          <w:numId w:val="6"/>
        </w:numPr>
        <w:spacing w:line="276" w:lineRule="auto"/>
        <w:jc w:val="both"/>
        <w:rPr>
          <w:rFonts w:asciiTheme="majorHAnsi" w:hAnsiTheme="majorHAnsi" w:cstheme="majorHAnsi"/>
          <w:color w:val="000000" w:themeColor="text1"/>
          <w:sz w:val="28"/>
          <w:szCs w:val="28"/>
          <w:u w:val="single"/>
        </w:rPr>
      </w:pPr>
      <w:r w:rsidRPr="006D6CE2">
        <w:rPr>
          <w:rFonts w:asciiTheme="majorHAnsi" w:eastAsia="Times New Roman" w:hAnsiTheme="majorHAnsi" w:cstheme="majorHAnsi"/>
          <w:color w:val="000000" w:themeColor="text1"/>
          <w:kern w:val="0"/>
          <w:sz w:val="28"/>
          <w:szCs w:val="28"/>
          <w:lang w:eastAsia="en-GB"/>
          <w14:ligatures w14:val="none"/>
        </w:rPr>
        <w:t>These frameworks for dialogue should be supported by a research agenda aimed at clarifying the many situations in which  both profit and not-for-profit considerations are in play. This new programme of research</w:t>
      </w:r>
      <w:r w:rsidR="006D6CE2" w:rsidRPr="006D6CE2">
        <w:rPr>
          <w:rFonts w:asciiTheme="majorHAnsi" w:eastAsia="Times New Roman" w:hAnsiTheme="majorHAnsi" w:cstheme="majorHAnsi"/>
          <w:color w:val="000000" w:themeColor="text1"/>
          <w:kern w:val="0"/>
          <w:sz w:val="28"/>
          <w:szCs w:val="28"/>
          <w:lang w:eastAsia="en-GB"/>
          <w14:ligatures w14:val="none"/>
        </w:rPr>
        <w:t xml:space="preserve"> </w:t>
      </w:r>
      <w:r w:rsidR="00914F65">
        <w:rPr>
          <w:rFonts w:asciiTheme="majorHAnsi" w:eastAsia="Times New Roman" w:hAnsiTheme="majorHAnsi" w:cstheme="majorHAnsi"/>
          <w:color w:val="000000" w:themeColor="text1"/>
          <w:kern w:val="0"/>
          <w:sz w:val="28"/>
          <w:szCs w:val="28"/>
          <w:lang w:eastAsia="en-GB"/>
          <w14:ligatures w14:val="none"/>
        </w:rPr>
        <w:t>sh</w:t>
      </w:r>
      <w:r w:rsidRPr="006D6CE2">
        <w:rPr>
          <w:rFonts w:asciiTheme="majorHAnsi" w:eastAsia="Times New Roman" w:hAnsiTheme="majorHAnsi" w:cstheme="majorHAnsi"/>
          <w:color w:val="000000" w:themeColor="text1"/>
          <w:kern w:val="0"/>
          <w:sz w:val="28"/>
          <w:szCs w:val="28"/>
          <w:lang w:eastAsia="en-GB"/>
          <w14:ligatures w14:val="none"/>
        </w:rPr>
        <w:t xml:space="preserve">ould contribute to the development of regulatory frameworks, relevant codes of practice at governmental level, and new environmental, social, and governance (ESG) metrics.  </w:t>
      </w:r>
    </w:p>
    <w:sectPr w:rsidR="00D257A0" w:rsidRPr="006D6CE2"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653" w:rsidRDefault="00F53653" w:rsidP="00E10FCD">
      <w:r>
        <w:separator/>
      </w:r>
    </w:p>
  </w:endnote>
  <w:endnote w:type="continuationSeparator" w:id="0">
    <w:p w:rsidR="00F53653" w:rsidRDefault="00F53653" w:rsidP="00E10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umeropagina"/>
      </w:rPr>
      <w:id w:val="-1042755673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6D6CE2" w:rsidRDefault="006D6CE2" w:rsidP="007B1BE0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:rsidR="006D6CE2" w:rsidRDefault="006D6CE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umeropagina"/>
      </w:rPr>
      <w:id w:val="-160378841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:rsidR="006D6CE2" w:rsidRDefault="006D6CE2" w:rsidP="007B1BE0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B80F9D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:rsidR="006D6CE2" w:rsidRDefault="006D6CE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653" w:rsidRDefault="00F53653" w:rsidP="00E10FCD">
      <w:r>
        <w:separator/>
      </w:r>
    </w:p>
  </w:footnote>
  <w:footnote w:type="continuationSeparator" w:id="0">
    <w:p w:rsidR="00F53653" w:rsidRDefault="00F53653" w:rsidP="00E10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641C8"/>
    <w:multiLevelType w:val="hybridMultilevel"/>
    <w:tmpl w:val="BAB8946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1E1686"/>
    <w:multiLevelType w:val="hybridMultilevel"/>
    <w:tmpl w:val="576ACF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D5CA6"/>
    <w:multiLevelType w:val="hybridMultilevel"/>
    <w:tmpl w:val="03843B7E"/>
    <w:lvl w:ilvl="0" w:tplc="BC4432C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3D2CED"/>
    <w:multiLevelType w:val="hybridMultilevel"/>
    <w:tmpl w:val="9514A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B22C56"/>
    <w:multiLevelType w:val="hybridMultilevel"/>
    <w:tmpl w:val="A866D36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471B2"/>
    <w:multiLevelType w:val="hybridMultilevel"/>
    <w:tmpl w:val="38E282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99163E"/>
    <w:multiLevelType w:val="hybridMultilevel"/>
    <w:tmpl w:val="F4D2BED6"/>
    <w:lvl w:ilvl="0" w:tplc="B096E1DC">
      <w:start w:val="1"/>
      <w:numFmt w:val="lowerRoman"/>
      <w:lvlText w:val="%1."/>
      <w:lvlJc w:val="righ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D6CEE"/>
    <w:multiLevelType w:val="hybridMultilevel"/>
    <w:tmpl w:val="D1CC16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A0"/>
    <w:rsid w:val="001A77E5"/>
    <w:rsid w:val="00243F2C"/>
    <w:rsid w:val="00246C45"/>
    <w:rsid w:val="002B0051"/>
    <w:rsid w:val="002C620A"/>
    <w:rsid w:val="002F0E0F"/>
    <w:rsid w:val="00381D20"/>
    <w:rsid w:val="003B2E7A"/>
    <w:rsid w:val="003F00A7"/>
    <w:rsid w:val="0047383B"/>
    <w:rsid w:val="006A7D58"/>
    <w:rsid w:val="006D6CE2"/>
    <w:rsid w:val="007E3ED4"/>
    <w:rsid w:val="007F7FD6"/>
    <w:rsid w:val="0082037C"/>
    <w:rsid w:val="00892844"/>
    <w:rsid w:val="00894B27"/>
    <w:rsid w:val="00914F65"/>
    <w:rsid w:val="00920ED2"/>
    <w:rsid w:val="00977860"/>
    <w:rsid w:val="00B80F9D"/>
    <w:rsid w:val="00C371B6"/>
    <w:rsid w:val="00CB7930"/>
    <w:rsid w:val="00CC1A18"/>
    <w:rsid w:val="00D257A0"/>
    <w:rsid w:val="00E10FCD"/>
    <w:rsid w:val="00ED2345"/>
    <w:rsid w:val="00F34CA3"/>
    <w:rsid w:val="00F53653"/>
    <w:rsid w:val="00F7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D257A0"/>
    <w:pPr>
      <w:widowControl w:val="0"/>
      <w:autoSpaceDE w:val="0"/>
      <w:autoSpaceDN w:val="0"/>
    </w:pPr>
    <w:rPr>
      <w:rFonts w:ascii="Calibri" w:eastAsia="Calibri" w:hAnsi="Calibri" w:cs="Calibri"/>
      <w:kern w:val="0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257A0"/>
    <w:rPr>
      <w:rFonts w:ascii="Calibri" w:eastAsia="Calibri" w:hAnsi="Calibri" w:cs="Calibri"/>
      <w:kern w:val="0"/>
      <w:lang w:val="en-US"/>
      <w14:ligatures w14:val="none"/>
    </w:rPr>
  </w:style>
  <w:style w:type="character" w:styleId="Numeropagina">
    <w:name w:val="page number"/>
    <w:rsid w:val="00D257A0"/>
    <w:rPr>
      <w:lang w:val="en-US"/>
    </w:rPr>
  </w:style>
  <w:style w:type="paragraph" w:customStyle="1" w:styleId="Body">
    <w:name w:val="Body"/>
    <w:rsid w:val="00D257A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Times New Roman" w:hAnsi="Times New Roman" w:cs="Times New Roman"/>
      <w:color w:val="000000"/>
      <w:kern w:val="0"/>
      <w:u w:color="000000"/>
      <w:bdr w:val="nil"/>
      <w:lang w:val="en-US"/>
      <w14:ligatures w14:val="none"/>
    </w:rPr>
  </w:style>
  <w:style w:type="paragraph" w:styleId="NormaleWeb">
    <w:name w:val="Normal (Web)"/>
    <w:basedOn w:val="Normale"/>
    <w:uiPriority w:val="99"/>
    <w:unhideWhenUsed/>
    <w:rsid w:val="00D257A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 w:themeColor="text1"/>
      <w:kern w:val="0"/>
      <w:lang w:val="en-US"/>
      <w14:ligatures w14:val="none"/>
    </w:rPr>
  </w:style>
  <w:style w:type="paragraph" w:customStyle="1" w:styleId="DCUBodycopy">
    <w:name w:val="DCU Body copy"/>
    <w:basedOn w:val="Normale"/>
    <w:qFormat/>
    <w:rsid w:val="00E10FCD"/>
    <w:pPr>
      <w:spacing w:line="280" w:lineRule="exact"/>
    </w:pPr>
    <w:rPr>
      <w:rFonts w:ascii="Arial" w:hAnsi="Arial" w:cs="Arial"/>
      <w:color w:val="00334F"/>
      <w:kern w:val="0"/>
      <w:lang w:val="en-GB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E10FCD"/>
    <w:rPr>
      <w:color w:val="0563C1" w:themeColor="hyperlink"/>
      <w:u w:val="single"/>
    </w:rPr>
  </w:style>
  <w:style w:type="paragraph" w:styleId="Testonotaapidipagina">
    <w:name w:val="footnote text"/>
    <w:aliases w:val="Footnote Text (alt f)"/>
    <w:basedOn w:val="Normale"/>
    <w:link w:val="TestonotaapidipaginaCarattere"/>
    <w:uiPriority w:val="99"/>
    <w:unhideWhenUsed/>
    <w:qFormat/>
    <w:rsid w:val="00E10FCD"/>
    <w:rPr>
      <w:sz w:val="20"/>
      <w:szCs w:val="20"/>
    </w:rPr>
  </w:style>
  <w:style w:type="character" w:customStyle="1" w:styleId="TestonotaapidipaginaCarattere">
    <w:name w:val="Testo nota a piè di pagina Carattere"/>
    <w:aliases w:val="Footnote Text (alt f) Carattere"/>
    <w:basedOn w:val="Carpredefinitoparagrafo"/>
    <w:link w:val="Testonotaapidipagina"/>
    <w:uiPriority w:val="99"/>
    <w:rsid w:val="00E10FC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E10FCD"/>
    <w:rPr>
      <w:vertAlign w:val="superscript"/>
    </w:rPr>
  </w:style>
  <w:style w:type="character" w:customStyle="1" w:styleId="None">
    <w:name w:val="None"/>
    <w:rsid w:val="00E10FCD"/>
  </w:style>
  <w:style w:type="paragraph" w:customStyle="1" w:styleId="BodyA">
    <w:name w:val="Body A"/>
    <w:rsid w:val="00E10FC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kern w:val="0"/>
      <w:u w:color="000000"/>
      <w:bdr w:val="nil"/>
      <w:lang w:val="en-US"/>
      <w14:ligatures w14:val="none"/>
    </w:rPr>
  </w:style>
  <w:style w:type="paragraph" w:styleId="Paragrafoelenco">
    <w:name w:val="List Paragraph"/>
    <w:basedOn w:val="Normale"/>
    <w:qFormat/>
    <w:rsid w:val="00F34CA3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6D6CE2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6C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D257A0"/>
    <w:pPr>
      <w:widowControl w:val="0"/>
      <w:autoSpaceDE w:val="0"/>
      <w:autoSpaceDN w:val="0"/>
    </w:pPr>
    <w:rPr>
      <w:rFonts w:ascii="Calibri" w:eastAsia="Calibri" w:hAnsi="Calibri" w:cs="Calibri"/>
      <w:kern w:val="0"/>
      <w:lang w:val="en-US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257A0"/>
    <w:rPr>
      <w:rFonts w:ascii="Calibri" w:eastAsia="Calibri" w:hAnsi="Calibri" w:cs="Calibri"/>
      <w:kern w:val="0"/>
      <w:lang w:val="en-US"/>
      <w14:ligatures w14:val="none"/>
    </w:rPr>
  </w:style>
  <w:style w:type="character" w:styleId="Numeropagina">
    <w:name w:val="page number"/>
    <w:rsid w:val="00D257A0"/>
    <w:rPr>
      <w:lang w:val="en-US"/>
    </w:rPr>
  </w:style>
  <w:style w:type="paragraph" w:customStyle="1" w:styleId="Body">
    <w:name w:val="Body"/>
    <w:rsid w:val="00D257A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Times New Roman" w:hAnsi="Times New Roman" w:cs="Times New Roman"/>
      <w:color w:val="000000"/>
      <w:kern w:val="0"/>
      <w:u w:color="000000"/>
      <w:bdr w:val="nil"/>
      <w:lang w:val="en-US"/>
      <w14:ligatures w14:val="none"/>
    </w:rPr>
  </w:style>
  <w:style w:type="paragraph" w:styleId="NormaleWeb">
    <w:name w:val="Normal (Web)"/>
    <w:basedOn w:val="Normale"/>
    <w:uiPriority w:val="99"/>
    <w:unhideWhenUsed/>
    <w:rsid w:val="00D257A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 w:themeColor="text1"/>
      <w:kern w:val="0"/>
      <w:lang w:val="en-US"/>
      <w14:ligatures w14:val="none"/>
    </w:rPr>
  </w:style>
  <w:style w:type="paragraph" w:customStyle="1" w:styleId="DCUBodycopy">
    <w:name w:val="DCU Body copy"/>
    <w:basedOn w:val="Normale"/>
    <w:qFormat/>
    <w:rsid w:val="00E10FCD"/>
    <w:pPr>
      <w:spacing w:line="280" w:lineRule="exact"/>
    </w:pPr>
    <w:rPr>
      <w:rFonts w:ascii="Arial" w:hAnsi="Arial" w:cs="Arial"/>
      <w:color w:val="00334F"/>
      <w:kern w:val="0"/>
      <w:lang w:val="en-GB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E10FCD"/>
    <w:rPr>
      <w:color w:val="0563C1" w:themeColor="hyperlink"/>
      <w:u w:val="single"/>
    </w:rPr>
  </w:style>
  <w:style w:type="paragraph" w:styleId="Testonotaapidipagina">
    <w:name w:val="footnote text"/>
    <w:aliases w:val="Footnote Text (alt f)"/>
    <w:basedOn w:val="Normale"/>
    <w:link w:val="TestonotaapidipaginaCarattere"/>
    <w:uiPriority w:val="99"/>
    <w:unhideWhenUsed/>
    <w:qFormat/>
    <w:rsid w:val="00E10FCD"/>
    <w:rPr>
      <w:sz w:val="20"/>
      <w:szCs w:val="20"/>
    </w:rPr>
  </w:style>
  <w:style w:type="character" w:customStyle="1" w:styleId="TestonotaapidipaginaCarattere">
    <w:name w:val="Testo nota a piè di pagina Carattere"/>
    <w:aliases w:val="Footnote Text (alt f) Carattere"/>
    <w:basedOn w:val="Carpredefinitoparagrafo"/>
    <w:link w:val="Testonotaapidipagina"/>
    <w:uiPriority w:val="99"/>
    <w:rsid w:val="00E10FC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unhideWhenUsed/>
    <w:rsid w:val="00E10FCD"/>
    <w:rPr>
      <w:vertAlign w:val="superscript"/>
    </w:rPr>
  </w:style>
  <w:style w:type="character" w:customStyle="1" w:styleId="None">
    <w:name w:val="None"/>
    <w:rsid w:val="00E10FCD"/>
  </w:style>
  <w:style w:type="paragraph" w:customStyle="1" w:styleId="BodyA">
    <w:name w:val="Body A"/>
    <w:rsid w:val="00E10FC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kern w:val="0"/>
      <w:u w:color="000000"/>
      <w:bdr w:val="nil"/>
      <w:lang w:val="en-US"/>
      <w14:ligatures w14:val="none"/>
    </w:rPr>
  </w:style>
  <w:style w:type="paragraph" w:styleId="Paragrafoelenco">
    <w:name w:val="List Paragraph"/>
    <w:basedOn w:val="Normale"/>
    <w:qFormat/>
    <w:rsid w:val="00F34CA3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6D6CE2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D6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E7AC5BC9699E14EAA806B608BDB62BF" ma:contentTypeVersion="10" ma:contentTypeDescription="Creare un nuovo documento." ma:contentTypeScope="" ma:versionID="a82574794d403ab70f1987f1dd7411af">
  <xsd:schema xmlns:xsd="http://www.w3.org/2001/XMLSchema" xmlns:xs="http://www.w3.org/2001/XMLSchema" xmlns:p="http://schemas.microsoft.com/office/2006/metadata/properties" xmlns:ns2="d6fcca1a-8ce8-4b5f-a4b4-e57fd4928cde" xmlns:ns3="2ecc3c4a-6ac4-4f0b-aa83-3da2394f6e22" targetNamespace="http://schemas.microsoft.com/office/2006/metadata/properties" ma:root="true" ma:fieldsID="532ae059d03c99f981314ce79b5aa684" ns2:_="" ns3:_="">
    <xsd:import namespace="d6fcca1a-8ce8-4b5f-a4b4-e57fd4928cde"/>
    <xsd:import namespace="2ecc3c4a-6ac4-4f0b-aa83-3da2394f6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cca1a-8ce8-4b5f-a4b4-e57fd4928c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c3c4a-6ac4-4f0b-aa83-3da2394f6e2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CB4D1-6865-4F22-BE4C-45F32FD36F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0FB84C-17CC-426C-B697-36A0B58203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96D4F1-35FA-4ADF-9022-7CDBBC53A5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cca1a-8ce8-4b5f-a4b4-e57fd4928cde"/>
    <ds:schemaRef ds:uri="2ecc3c4a-6ac4-4f0b-aa83-3da2394f6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920</Words>
  <Characters>5245</Characters>
  <Application>Microsoft Office Word</Application>
  <DocSecurity>0</DocSecurity>
  <Lines>43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McDonagh</dc:creator>
  <cp:keywords/>
  <dc:description/>
  <cp:lastModifiedBy>.</cp:lastModifiedBy>
  <cp:revision>4</cp:revision>
  <dcterms:created xsi:type="dcterms:W3CDTF">2024-03-01T12:58:00Z</dcterms:created>
  <dcterms:modified xsi:type="dcterms:W3CDTF">2024-03-02T16:58:00Z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0x0101009E7AC5BC9699E14EAA806B608BDB62BF</vt:lpwstr>
  </property>
</Properties>
</file>