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FA162B" w14:textId="77777777" w:rsidR="002A33AB" w:rsidRPr="00877550" w:rsidRDefault="002A33AB" w:rsidP="002A33AB">
      <w:pPr>
        <w:jc w:val="center"/>
        <w:rPr>
          <w:rFonts w:ascii="Calibri" w:hAnsi="Calibri" w:cs="Calibri"/>
          <w:b/>
          <w:bCs/>
          <w:color w:val="000000"/>
          <w:sz w:val="26"/>
          <w:szCs w:val="26"/>
          <w:shd w:val="clear" w:color="auto" w:fill="FFFFFF"/>
          <w:lang w:val="de-DE"/>
        </w:rPr>
      </w:pPr>
      <w:r w:rsidRPr="00877550">
        <w:rPr>
          <w:rFonts w:ascii="Calibri" w:hAnsi="Calibri" w:cs="Calibri"/>
          <w:b/>
          <w:bCs/>
          <w:color w:val="000000"/>
          <w:sz w:val="26"/>
          <w:szCs w:val="26"/>
          <w:shd w:val="clear" w:color="auto" w:fill="FFFFFF"/>
          <w:lang w:val="de-DE"/>
        </w:rPr>
        <w:t xml:space="preserve">Webinar </w:t>
      </w:r>
      <w:r>
        <w:rPr>
          <w:rFonts w:ascii="Calibri" w:hAnsi="Calibri" w:cs="Calibri"/>
          <w:b/>
          <w:bCs/>
          <w:color w:val="000000"/>
          <w:sz w:val="26"/>
          <w:szCs w:val="26"/>
          <w:shd w:val="clear" w:color="auto" w:fill="FFFFFF"/>
          <w:lang w:val="de-DE"/>
        </w:rPr>
        <w:t>„</w:t>
      </w:r>
      <w:r w:rsidRPr="00877550">
        <w:rPr>
          <w:rFonts w:ascii="Calibri" w:hAnsi="Calibri" w:cs="Calibri"/>
          <w:b/>
          <w:bCs/>
          <w:color w:val="000000"/>
          <w:sz w:val="26"/>
          <w:szCs w:val="26"/>
          <w:shd w:val="clear" w:color="auto" w:fill="FFFFFF"/>
          <w:lang w:val="de-DE"/>
        </w:rPr>
        <w:t>Zur Einheit berufen - Auf dem Weg zu</w:t>
      </w:r>
      <w:r>
        <w:rPr>
          <w:rFonts w:ascii="Calibri" w:hAnsi="Calibri" w:cs="Calibri"/>
          <w:b/>
          <w:bCs/>
          <w:color w:val="000000"/>
          <w:sz w:val="26"/>
          <w:szCs w:val="26"/>
          <w:shd w:val="clear" w:color="auto" w:fill="FFFFFF"/>
          <w:lang w:val="de-DE"/>
        </w:rPr>
        <w:t xml:space="preserve"> einer Ökologie der Beziehungen“</w:t>
      </w:r>
    </w:p>
    <w:p w14:paraId="683160E9" w14:textId="77777777" w:rsidR="002A33AB" w:rsidRPr="00877550" w:rsidRDefault="002A33AB" w:rsidP="002A33AB">
      <w:pPr>
        <w:jc w:val="center"/>
        <w:rPr>
          <w:rFonts w:ascii="Calibri" w:hAnsi="Calibri" w:cs="Calibri"/>
          <w:b/>
          <w:bCs/>
          <w:color w:val="000000"/>
          <w:sz w:val="26"/>
          <w:szCs w:val="26"/>
          <w:shd w:val="clear" w:color="auto" w:fill="FFFFFF"/>
          <w:lang w:val="en-GB"/>
        </w:rPr>
      </w:pPr>
      <w:proofErr w:type="spellStart"/>
      <w:r w:rsidRPr="00877550">
        <w:rPr>
          <w:rFonts w:ascii="Calibri" w:hAnsi="Calibri" w:cs="Calibri"/>
          <w:b/>
          <w:bCs/>
          <w:i/>
          <w:color w:val="000000"/>
          <w:sz w:val="26"/>
          <w:szCs w:val="26"/>
          <w:shd w:val="clear" w:color="auto" w:fill="FFFFFF"/>
          <w:lang w:val="en-GB"/>
        </w:rPr>
        <w:t>Miteinander</w:t>
      </w:r>
      <w:proofErr w:type="spellEnd"/>
      <w:r w:rsidRPr="00877550">
        <w:rPr>
          <w:rFonts w:ascii="Calibri" w:hAnsi="Calibri" w:cs="Calibri"/>
          <w:b/>
          <w:bCs/>
          <w:i/>
          <w:color w:val="000000"/>
          <w:sz w:val="26"/>
          <w:szCs w:val="26"/>
          <w:shd w:val="clear" w:color="auto" w:fill="FFFFFF"/>
          <w:lang w:val="en-GB"/>
        </w:rPr>
        <w:t xml:space="preserve"> </w:t>
      </w:r>
      <w:proofErr w:type="spellStart"/>
      <w:r w:rsidRPr="00877550">
        <w:rPr>
          <w:rFonts w:ascii="Calibri" w:hAnsi="Calibri" w:cs="Calibri"/>
          <w:b/>
          <w:bCs/>
          <w:i/>
          <w:color w:val="000000"/>
          <w:sz w:val="26"/>
          <w:szCs w:val="26"/>
          <w:shd w:val="clear" w:color="auto" w:fill="FFFFFF"/>
          <w:lang w:val="en-GB"/>
        </w:rPr>
        <w:t>für</w:t>
      </w:r>
      <w:proofErr w:type="spellEnd"/>
      <w:r w:rsidRPr="00877550">
        <w:rPr>
          <w:rFonts w:ascii="Calibri" w:hAnsi="Calibri" w:cs="Calibri"/>
          <w:b/>
          <w:bCs/>
          <w:i/>
          <w:color w:val="000000"/>
          <w:sz w:val="26"/>
          <w:szCs w:val="26"/>
          <w:shd w:val="clear" w:color="auto" w:fill="FFFFFF"/>
          <w:lang w:val="en-GB"/>
        </w:rPr>
        <w:t xml:space="preserve"> Europa</w:t>
      </w:r>
      <w:r w:rsidRPr="00877550">
        <w:rPr>
          <w:rFonts w:ascii="Calibri" w:hAnsi="Calibri" w:cs="Calibri"/>
          <w:b/>
          <w:bCs/>
          <w:color w:val="000000"/>
          <w:sz w:val="26"/>
          <w:szCs w:val="26"/>
          <w:shd w:val="clear" w:color="auto" w:fill="FFFFFF"/>
          <w:lang w:val="en-GB"/>
        </w:rPr>
        <w:t xml:space="preserve"> 2. </w:t>
      </w:r>
      <w:proofErr w:type="spellStart"/>
      <w:r w:rsidRPr="00877550">
        <w:rPr>
          <w:rFonts w:ascii="Calibri" w:hAnsi="Calibri" w:cs="Calibri"/>
          <w:b/>
          <w:bCs/>
          <w:color w:val="000000"/>
          <w:sz w:val="26"/>
          <w:szCs w:val="26"/>
          <w:shd w:val="clear" w:color="auto" w:fill="FFFFFF"/>
          <w:lang w:val="en-GB"/>
        </w:rPr>
        <w:t>März</w:t>
      </w:r>
      <w:proofErr w:type="spellEnd"/>
      <w:r w:rsidRPr="00877550">
        <w:rPr>
          <w:rFonts w:ascii="Calibri" w:hAnsi="Calibri" w:cs="Calibri"/>
          <w:b/>
          <w:bCs/>
          <w:color w:val="000000"/>
          <w:sz w:val="26"/>
          <w:szCs w:val="26"/>
          <w:shd w:val="clear" w:color="auto" w:fill="FFFFFF"/>
          <w:lang w:val="en-GB"/>
        </w:rPr>
        <w:t xml:space="preserve"> 2024</w:t>
      </w:r>
    </w:p>
    <w:p w14:paraId="495FBD0F" w14:textId="77777777" w:rsidR="002A33AB" w:rsidRPr="00877550" w:rsidRDefault="002A33AB" w:rsidP="002A33AB">
      <w:pPr>
        <w:jc w:val="center"/>
        <w:rPr>
          <w:rFonts w:ascii="Calibri" w:hAnsi="Calibri" w:cs="Calibri"/>
          <w:b/>
          <w:bCs/>
          <w:color w:val="000000"/>
          <w:sz w:val="26"/>
          <w:szCs w:val="26"/>
          <w:shd w:val="clear" w:color="auto" w:fill="FFFFFF"/>
          <w:lang w:val="en-GB"/>
        </w:rPr>
      </w:pPr>
    </w:p>
    <w:p w14:paraId="6A273FBD" w14:textId="77777777" w:rsidR="002A33AB" w:rsidRDefault="002A33AB" w:rsidP="00894B27">
      <w:pPr>
        <w:spacing w:line="276" w:lineRule="auto"/>
        <w:rPr>
          <w:rFonts w:asciiTheme="majorHAnsi" w:hAnsiTheme="majorHAnsi" w:cstheme="majorHAnsi"/>
          <w:color w:val="000000" w:themeColor="text1"/>
          <w:sz w:val="28"/>
          <w:szCs w:val="28"/>
          <w:u w:val="single"/>
          <w:lang w:val="de-DE"/>
        </w:rPr>
      </w:pPr>
    </w:p>
    <w:p w14:paraId="043F51D6" w14:textId="1EBBBBED" w:rsidR="002A33AB" w:rsidRPr="002A33AB" w:rsidRDefault="002A33AB" w:rsidP="00894B27">
      <w:pPr>
        <w:spacing w:line="276" w:lineRule="auto"/>
        <w:rPr>
          <w:rFonts w:asciiTheme="majorHAnsi" w:hAnsiTheme="majorHAnsi" w:cstheme="majorHAnsi"/>
          <w:b/>
          <w:color w:val="000000" w:themeColor="text1"/>
          <w:sz w:val="28"/>
          <w:szCs w:val="28"/>
          <w:lang w:val="de-DE"/>
        </w:rPr>
      </w:pPr>
      <w:bookmarkStart w:id="0" w:name="_GoBack"/>
      <w:r w:rsidRPr="002A33AB">
        <w:rPr>
          <w:rFonts w:asciiTheme="majorHAnsi" w:hAnsiTheme="majorHAnsi" w:cstheme="majorHAnsi"/>
          <w:b/>
          <w:color w:val="000000" w:themeColor="text1"/>
          <w:sz w:val="28"/>
          <w:szCs w:val="28"/>
          <w:lang w:val="de-DE"/>
        </w:rPr>
        <w:t xml:space="preserve">Anmerkungen zum Artikel 17 des </w:t>
      </w:r>
      <w:r w:rsidRPr="002A33AB">
        <w:rPr>
          <w:rFonts w:asciiTheme="majorHAnsi" w:hAnsiTheme="majorHAnsi" w:cstheme="majorHAnsi"/>
          <w:b/>
          <w:color w:val="000000" w:themeColor="text1"/>
          <w:sz w:val="28"/>
          <w:szCs w:val="28"/>
          <w:lang w:val="de-DE"/>
        </w:rPr>
        <w:t>AEUV</w:t>
      </w:r>
      <w:r w:rsidRPr="002A33AB">
        <w:rPr>
          <w:rFonts w:asciiTheme="majorHAnsi" w:hAnsiTheme="majorHAnsi" w:cstheme="majorHAnsi"/>
          <w:b/>
          <w:color w:val="000000" w:themeColor="text1"/>
          <w:sz w:val="28"/>
          <w:szCs w:val="28"/>
          <w:lang w:val="de-DE"/>
        </w:rPr>
        <w:t xml:space="preserve"> und zum Green</w:t>
      </w:r>
      <w:r>
        <w:rPr>
          <w:rFonts w:asciiTheme="majorHAnsi" w:hAnsiTheme="majorHAnsi" w:cstheme="majorHAnsi"/>
          <w:b/>
          <w:color w:val="000000" w:themeColor="text1"/>
          <w:sz w:val="28"/>
          <w:szCs w:val="28"/>
          <w:lang w:val="de-DE"/>
        </w:rPr>
        <w:t xml:space="preserve"> D</w:t>
      </w:r>
      <w:r w:rsidRPr="002A33AB">
        <w:rPr>
          <w:rFonts w:asciiTheme="majorHAnsi" w:hAnsiTheme="majorHAnsi" w:cstheme="majorHAnsi"/>
          <w:b/>
          <w:color w:val="000000" w:themeColor="text1"/>
          <w:sz w:val="28"/>
          <w:szCs w:val="28"/>
          <w:lang w:val="de-DE"/>
        </w:rPr>
        <w:t>eal</w:t>
      </w:r>
    </w:p>
    <w:bookmarkEnd w:id="0"/>
    <w:p w14:paraId="45B8D78B" w14:textId="078D1467" w:rsidR="00D257A0" w:rsidRPr="002A33AB" w:rsidRDefault="002A33AB" w:rsidP="00894B27">
      <w:pPr>
        <w:spacing w:line="276" w:lineRule="auto"/>
        <w:rPr>
          <w:rFonts w:asciiTheme="majorHAnsi" w:hAnsiTheme="majorHAnsi" w:cstheme="majorHAnsi"/>
          <w:i/>
          <w:color w:val="000000" w:themeColor="text1"/>
          <w:lang w:val="de-DE"/>
        </w:rPr>
      </w:pPr>
      <w:r w:rsidRPr="002A33AB">
        <w:rPr>
          <w:rFonts w:asciiTheme="majorHAnsi" w:hAnsiTheme="majorHAnsi" w:cstheme="majorHAnsi"/>
          <w:i/>
          <w:color w:val="000000" w:themeColor="text1"/>
          <w:lang w:val="de-DE"/>
        </w:rPr>
        <w:t>Prof.</w:t>
      </w:r>
      <w:r w:rsidR="005F2F5F" w:rsidRPr="002A33AB">
        <w:rPr>
          <w:rFonts w:asciiTheme="majorHAnsi" w:hAnsiTheme="majorHAnsi" w:cstheme="majorHAnsi"/>
          <w:i/>
          <w:color w:val="000000" w:themeColor="text1"/>
          <w:lang w:val="de-DE"/>
        </w:rPr>
        <w:t xml:space="preserve"> Philip </w:t>
      </w:r>
      <w:proofErr w:type="spellStart"/>
      <w:r w:rsidR="005F2F5F" w:rsidRPr="002A33AB">
        <w:rPr>
          <w:rFonts w:asciiTheme="majorHAnsi" w:hAnsiTheme="majorHAnsi" w:cstheme="majorHAnsi"/>
          <w:i/>
          <w:color w:val="000000" w:themeColor="text1"/>
          <w:lang w:val="de-DE"/>
        </w:rPr>
        <w:t>McDonagh</w:t>
      </w:r>
      <w:proofErr w:type="spellEnd"/>
      <w:r w:rsidRPr="002A33AB">
        <w:rPr>
          <w:rFonts w:asciiTheme="majorHAnsi" w:hAnsiTheme="majorHAnsi" w:cstheme="majorHAnsi"/>
          <w:i/>
          <w:color w:val="000000" w:themeColor="text1"/>
          <w:lang w:val="de-DE"/>
        </w:rPr>
        <w:t>, Universität Dublin (Irland)</w:t>
      </w:r>
    </w:p>
    <w:p w14:paraId="7E79DD38" w14:textId="77777777" w:rsidR="005F2F5F" w:rsidRPr="002A33AB" w:rsidRDefault="005F2F5F" w:rsidP="00894B27">
      <w:pPr>
        <w:spacing w:line="276" w:lineRule="auto"/>
        <w:rPr>
          <w:rFonts w:asciiTheme="majorHAnsi" w:hAnsiTheme="majorHAnsi" w:cstheme="majorHAnsi"/>
          <w:color w:val="000000" w:themeColor="text1"/>
          <w:u w:val="single"/>
          <w:lang w:val="de-DE"/>
        </w:rPr>
      </w:pPr>
    </w:p>
    <w:p w14:paraId="125C4D0F" w14:textId="4742C5D8" w:rsidR="00F34CA3" w:rsidRPr="002A33AB" w:rsidRDefault="005F2F5F" w:rsidP="00894B27">
      <w:pPr>
        <w:spacing w:line="276" w:lineRule="auto"/>
        <w:jc w:val="both"/>
        <w:rPr>
          <w:rFonts w:asciiTheme="majorHAnsi" w:hAnsiTheme="majorHAnsi" w:cstheme="majorHAnsi"/>
          <w:color w:val="000000" w:themeColor="text1"/>
          <w:lang w:val="de-DE"/>
        </w:rPr>
      </w:pPr>
      <w:r w:rsidRPr="002A33AB">
        <w:rPr>
          <w:rFonts w:asciiTheme="majorHAnsi" w:hAnsiTheme="majorHAnsi" w:cstheme="majorHAnsi"/>
          <w:color w:val="000000" w:themeColor="text1"/>
          <w:lang w:val="de-DE"/>
        </w:rPr>
        <w:t>Ich habe vor, etwas über Artikel 17 beziehungsweise den Green Deal zu sagen. Dann werde ich begründen, warum die Methodik von Artikel 17 sich als hilfreich erweisen kann, um einen gerechten Übergang zu fördern. Schließlich werde ich einige spezifische Grundsätze und Empfehlungen vorschlagen.</w:t>
      </w:r>
    </w:p>
    <w:p w14:paraId="310BDEA8" w14:textId="77777777" w:rsidR="005F2F5F" w:rsidRPr="002A33AB" w:rsidRDefault="005F2F5F" w:rsidP="00894B27">
      <w:pPr>
        <w:spacing w:line="276" w:lineRule="auto"/>
        <w:jc w:val="both"/>
        <w:rPr>
          <w:rFonts w:asciiTheme="majorHAnsi" w:hAnsiTheme="majorHAnsi" w:cstheme="majorHAnsi"/>
          <w:color w:val="000000" w:themeColor="text1"/>
          <w:lang w:val="de-DE"/>
        </w:rPr>
      </w:pPr>
    </w:p>
    <w:p w14:paraId="7A04E793" w14:textId="72586E30" w:rsidR="00F34CA3" w:rsidRPr="002A33AB" w:rsidRDefault="005F2F5F" w:rsidP="00894B27">
      <w:pPr>
        <w:pStyle w:val="Paragrafoelenco"/>
        <w:numPr>
          <w:ilvl w:val="0"/>
          <w:numId w:val="4"/>
        </w:numPr>
        <w:spacing w:line="276" w:lineRule="auto"/>
        <w:jc w:val="both"/>
        <w:rPr>
          <w:rFonts w:asciiTheme="majorHAnsi" w:hAnsiTheme="majorHAnsi" w:cstheme="majorHAnsi"/>
          <w:color w:val="000000" w:themeColor="text1"/>
          <w:u w:val="single"/>
          <w:lang w:val="de-DE"/>
        </w:rPr>
      </w:pPr>
      <w:r w:rsidRPr="002A33AB">
        <w:rPr>
          <w:rFonts w:asciiTheme="majorHAnsi" w:hAnsiTheme="majorHAnsi" w:cstheme="majorHAnsi"/>
          <w:color w:val="000000" w:themeColor="text1"/>
          <w:u w:val="single"/>
          <w:lang w:val="de-DE"/>
        </w:rPr>
        <w:t>Artikel</w:t>
      </w:r>
      <w:r w:rsidR="00F34CA3" w:rsidRPr="002A33AB">
        <w:rPr>
          <w:rFonts w:asciiTheme="majorHAnsi" w:hAnsiTheme="majorHAnsi" w:cstheme="majorHAnsi"/>
          <w:color w:val="000000" w:themeColor="text1"/>
          <w:u w:val="single"/>
          <w:lang w:val="de-DE"/>
        </w:rPr>
        <w:t xml:space="preserve"> 17</w:t>
      </w:r>
    </w:p>
    <w:p w14:paraId="2934FC46" w14:textId="77777777" w:rsidR="00D257A0" w:rsidRPr="002A33AB" w:rsidRDefault="00D257A0" w:rsidP="00894B27">
      <w:pPr>
        <w:spacing w:line="276" w:lineRule="auto"/>
        <w:rPr>
          <w:rFonts w:asciiTheme="majorHAnsi" w:hAnsiTheme="majorHAnsi" w:cstheme="majorHAnsi"/>
          <w:color w:val="000000" w:themeColor="text1"/>
          <w:u w:val="single"/>
          <w:lang w:val="de-DE"/>
        </w:rPr>
      </w:pPr>
    </w:p>
    <w:p w14:paraId="61A3D378" w14:textId="21034C15" w:rsidR="00D257A0" w:rsidRPr="002A33AB" w:rsidRDefault="005F2F5F" w:rsidP="00894B27">
      <w:pPr>
        <w:pStyle w:val="Body"/>
        <w:spacing w:line="276" w:lineRule="auto"/>
        <w:jc w:val="both"/>
        <w:rPr>
          <w:rStyle w:val="Numeropagina"/>
          <w:rFonts w:asciiTheme="majorHAnsi" w:hAnsiTheme="majorHAnsi" w:cstheme="majorHAnsi"/>
          <w:color w:val="000000" w:themeColor="text1"/>
          <w:lang w:val="de-DE"/>
        </w:rPr>
      </w:pPr>
      <w:r w:rsidRPr="002A33AB">
        <w:rPr>
          <w:rStyle w:val="Numeropagina"/>
          <w:rFonts w:asciiTheme="majorHAnsi" w:hAnsiTheme="majorHAnsi" w:cstheme="majorHAnsi"/>
          <w:color w:val="000000" w:themeColor="text1"/>
          <w:lang w:val="de-DE"/>
        </w:rPr>
        <w:t>Artikel 17 des Vertrags über die Arbeitsweise der Europäischen Union sieht in seinem dritten Absatz Folgendes vor: „In Anerkennung ihrer Identität und ihres besonderen Beitrags unterhält die Union einen offenen, transparenten und regelmäßigen Dialog mit diesen Kirchen und Organisationen.“</w:t>
      </w:r>
    </w:p>
    <w:p w14:paraId="4B61F5D5" w14:textId="77777777" w:rsidR="005F2F5F" w:rsidRPr="002A33AB" w:rsidRDefault="005F2F5F" w:rsidP="00894B27">
      <w:pPr>
        <w:pStyle w:val="Body"/>
        <w:spacing w:line="276" w:lineRule="auto"/>
        <w:jc w:val="both"/>
        <w:rPr>
          <w:rStyle w:val="Numeropagina"/>
          <w:rFonts w:asciiTheme="majorHAnsi" w:hAnsiTheme="majorHAnsi" w:cstheme="majorHAnsi"/>
          <w:color w:val="000000" w:themeColor="text1"/>
          <w:lang w:val="de-DE"/>
        </w:rPr>
      </w:pPr>
    </w:p>
    <w:p w14:paraId="1765DAC2" w14:textId="2A0CF16C" w:rsidR="005F2F5F" w:rsidRPr="002A33AB" w:rsidRDefault="005F2F5F" w:rsidP="005F2F5F">
      <w:pPr>
        <w:pStyle w:val="Corpotesto"/>
        <w:spacing w:before="100" w:line="276" w:lineRule="auto"/>
        <w:ind w:right="125"/>
        <w:jc w:val="both"/>
        <w:rPr>
          <w:rFonts w:asciiTheme="majorHAnsi" w:hAnsiTheme="majorHAnsi" w:cstheme="majorHAnsi"/>
          <w:color w:val="000000" w:themeColor="text1"/>
          <w:lang w:val="de-DE"/>
        </w:rPr>
      </w:pPr>
      <w:r w:rsidRPr="002A33AB">
        <w:rPr>
          <w:rFonts w:asciiTheme="majorHAnsi" w:hAnsiTheme="majorHAnsi" w:cstheme="majorHAnsi"/>
          <w:color w:val="000000" w:themeColor="text1"/>
          <w:lang w:val="de-DE"/>
        </w:rPr>
        <w:t>Artikel 17 ist das weltweit führende Beispiel für die Verpflichtung öffentlicher Stellen, einen strukturierten Dialog mit Kirchen und Glaubensgemeinschaften über aktuelle politische Fragen zu führen. Der in diesem Artikel vorgesehene „offene, transparente und regelmäßige Dialog“ unterstützt die Ziele der jüngsten Konferenz über die Zukunft Europas (</w:t>
      </w:r>
      <w:proofErr w:type="spellStart"/>
      <w:r w:rsidRPr="002A33AB">
        <w:rPr>
          <w:rFonts w:asciiTheme="majorHAnsi" w:hAnsiTheme="majorHAnsi" w:cstheme="majorHAnsi"/>
          <w:color w:val="000000" w:themeColor="text1"/>
          <w:lang w:val="de-DE"/>
        </w:rPr>
        <w:t>CoFoE</w:t>
      </w:r>
      <w:proofErr w:type="spellEnd"/>
      <w:r w:rsidRPr="002A33AB">
        <w:rPr>
          <w:rFonts w:asciiTheme="majorHAnsi" w:hAnsiTheme="majorHAnsi" w:cstheme="majorHAnsi"/>
          <w:color w:val="000000" w:themeColor="text1"/>
          <w:lang w:val="de-DE"/>
        </w:rPr>
        <w:t xml:space="preserve">), die darauf abzielte, die Bürger in die Gestaltung unserer Zukunft einzubeziehen. Artikel 17 fasst die Vision einer wertegeleiteten Gesellschaft, die Europas Vordenker der Nachkriegszeit als selbstverständlich ansahen, in die Begriffe des 21. Jahrhunderts. </w:t>
      </w:r>
    </w:p>
    <w:p w14:paraId="216C196F" w14:textId="472A58F2" w:rsidR="00F34CA3" w:rsidRPr="002A33AB" w:rsidRDefault="005F2F5F" w:rsidP="00894B27">
      <w:pPr>
        <w:pStyle w:val="Paragrafoelenco"/>
        <w:numPr>
          <w:ilvl w:val="0"/>
          <w:numId w:val="4"/>
        </w:numPr>
        <w:spacing w:before="100" w:beforeAutospacing="1" w:after="100" w:afterAutospacing="1" w:line="276" w:lineRule="auto"/>
        <w:jc w:val="both"/>
        <w:rPr>
          <w:rFonts w:asciiTheme="majorHAnsi" w:hAnsiTheme="majorHAnsi" w:cstheme="majorHAnsi"/>
          <w:color w:val="000000" w:themeColor="text1"/>
          <w:u w:val="single"/>
          <w:lang w:val="de-DE"/>
        </w:rPr>
      </w:pPr>
      <w:r w:rsidRPr="002A33AB">
        <w:rPr>
          <w:rFonts w:asciiTheme="majorHAnsi" w:hAnsiTheme="majorHAnsi" w:cstheme="majorHAnsi"/>
          <w:color w:val="000000" w:themeColor="text1"/>
          <w:u w:val="single"/>
          <w:lang w:val="de-DE"/>
        </w:rPr>
        <w:t>Der</w:t>
      </w:r>
      <w:r w:rsidR="00F34CA3" w:rsidRPr="002A33AB">
        <w:rPr>
          <w:rFonts w:asciiTheme="majorHAnsi" w:hAnsiTheme="majorHAnsi" w:cstheme="majorHAnsi"/>
          <w:color w:val="000000" w:themeColor="text1"/>
          <w:u w:val="single"/>
          <w:lang w:val="de-DE"/>
        </w:rPr>
        <w:t xml:space="preserve"> Green Deal</w:t>
      </w:r>
    </w:p>
    <w:p w14:paraId="1B6F18D3" w14:textId="4B9380C8" w:rsidR="005F2F5F" w:rsidRPr="002A33AB" w:rsidRDefault="005F2F5F" w:rsidP="005F2F5F">
      <w:pPr>
        <w:pStyle w:val="DCUBodycopy"/>
        <w:spacing w:line="276" w:lineRule="auto"/>
        <w:jc w:val="both"/>
        <w:rPr>
          <w:rFonts w:asciiTheme="majorHAnsi" w:hAnsiTheme="majorHAnsi" w:cstheme="majorHAnsi"/>
          <w:color w:val="000000" w:themeColor="text1"/>
          <w:kern w:val="2"/>
          <w:lang w:val="de-DE"/>
          <w14:ligatures w14:val="standardContextual"/>
        </w:rPr>
      </w:pPr>
      <w:r w:rsidRPr="002A33AB">
        <w:rPr>
          <w:rFonts w:asciiTheme="majorHAnsi" w:hAnsiTheme="majorHAnsi" w:cstheme="majorHAnsi"/>
          <w:color w:val="000000" w:themeColor="text1"/>
          <w:kern w:val="2"/>
          <w:lang w:val="de-DE"/>
          <w14:ligatures w14:val="standardContextual"/>
        </w:rPr>
        <w:t xml:space="preserve">Ich komme nun zum Green Deal. Dies ist der weltweit ehrgeizigste politische Rahmen, um die Zukunft der Landwirtschaft im Lichte umfassenderer Ziele zu gestalten. Es ist auch unser größtes Projekt in der EU, mit weitreichenden Folgen für fast alle Teile der Gesellschaft </w:t>
      </w:r>
      <w:r w:rsidRPr="002A33AB">
        <w:rPr>
          <w:rFonts w:asciiTheme="majorHAnsi" w:hAnsiTheme="majorHAnsi" w:cstheme="majorHAnsi"/>
          <w:color w:val="000000" w:themeColor="text1"/>
          <w:kern w:val="2"/>
          <w:lang w:val="de-DE"/>
          <w14:ligatures w14:val="standardContextual"/>
        </w:rPr>
        <w:softHyphen/>
        <w:t xml:space="preserve">– eine enorme Leistung. Dennoch gibt es Anzeichen dafür, dass sich ein erheblicher Teil der Landwirte in der Europäischen Union nur schwer mit dem Übergangsprozess identifizieren kann. Seit dem Sommer 2022 gibt es in ganz Europa Proteste der Landwirte. Im Hintergrund stehen einige beunruhigende demografische Statistiken. Im Jahr 2020 gab es in der EU 9,1 Millionen landwirtschaftliche Betriebe. Das sind etwa fünf Millionen weniger als noch 2005. Im Jahr 2020 war mehr als die Hälfte aller Leiter von landwirtschaftlichen Betrieben in der EU mindestens 55 Jahre alt (etwa ein Drittel war mindestens 65 Jahre alt). Nur sehr wenige waren Junglandwirte (definiert als Personen unter 40 Jahren). In fast allen EU-Mitgliedstaaten </w:t>
      </w:r>
      <w:r w:rsidRPr="002A33AB">
        <w:rPr>
          <w:rFonts w:asciiTheme="majorHAnsi" w:hAnsiTheme="majorHAnsi" w:cstheme="majorHAnsi"/>
          <w:color w:val="000000" w:themeColor="text1"/>
          <w:kern w:val="2"/>
          <w:lang w:val="de-DE"/>
          <w14:ligatures w14:val="standardContextual"/>
        </w:rPr>
        <w:lastRenderedPageBreak/>
        <w:t>arbeiten die in der Landwirtschaft Beschäftigten im Durchschnitt weit mehr Stunden pro Woche als der Rest der Erwerbsbevölkerung.</w:t>
      </w:r>
    </w:p>
    <w:p w14:paraId="10181CA3" w14:textId="77777777" w:rsidR="005F2F5F" w:rsidRPr="002A33AB" w:rsidRDefault="005F2F5F" w:rsidP="005F2F5F">
      <w:pPr>
        <w:pStyle w:val="DCUBodycopy"/>
        <w:spacing w:line="276" w:lineRule="auto"/>
        <w:jc w:val="both"/>
        <w:rPr>
          <w:rFonts w:asciiTheme="majorHAnsi" w:hAnsiTheme="majorHAnsi" w:cstheme="majorHAnsi"/>
          <w:color w:val="000000" w:themeColor="text1"/>
          <w:kern w:val="2"/>
          <w:lang w:val="de-DE"/>
          <w14:ligatures w14:val="standardContextual"/>
        </w:rPr>
      </w:pPr>
    </w:p>
    <w:p w14:paraId="7B1B6191" w14:textId="77777777" w:rsidR="005F2F5F" w:rsidRPr="002A33AB" w:rsidRDefault="005F2F5F" w:rsidP="005F2F5F">
      <w:pPr>
        <w:pStyle w:val="DCUBodycopy"/>
        <w:spacing w:line="276" w:lineRule="auto"/>
        <w:jc w:val="both"/>
        <w:rPr>
          <w:rFonts w:asciiTheme="majorHAnsi" w:hAnsiTheme="majorHAnsi" w:cstheme="majorHAnsi"/>
          <w:color w:val="000000" w:themeColor="text1"/>
          <w:lang w:val="de-DE"/>
        </w:rPr>
      </w:pPr>
      <w:r w:rsidRPr="002A33AB">
        <w:rPr>
          <w:rFonts w:asciiTheme="majorHAnsi" w:hAnsiTheme="majorHAnsi" w:cstheme="majorHAnsi"/>
          <w:color w:val="000000" w:themeColor="text1"/>
          <w:lang w:val="de-DE"/>
        </w:rPr>
        <w:t xml:space="preserve">Die europäischen Landwirte sind mit einer Vielzahl von Herausforderungen konfrontiert: komplizierte Rechtsvorschriften, verschärfte Auflagen für die finanzielle Unterstützung und die Inflation. Vielleicht ist es nicht überraschend, dass die Zahl der kleinen und mittleren Betriebe und der jungen Betriebsleiter stark rückläufig ist. Wir, die wir in den Städten leben, müssen zuhören, die Verbundenheit vieler Landwirte mit ihren Traditionen verstehen und die sozialen und kulturellen Bedürfnisse der Landwirte in einen größeren politischen Kontext einordnen. </w:t>
      </w:r>
    </w:p>
    <w:p w14:paraId="647AEEF6" w14:textId="77777777" w:rsidR="005F2F5F" w:rsidRPr="002A33AB" w:rsidRDefault="005F2F5F" w:rsidP="005F2F5F">
      <w:pPr>
        <w:pStyle w:val="DCUBodycopy"/>
        <w:spacing w:line="276" w:lineRule="auto"/>
        <w:jc w:val="both"/>
        <w:rPr>
          <w:rFonts w:asciiTheme="majorHAnsi" w:hAnsiTheme="majorHAnsi" w:cstheme="majorHAnsi"/>
          <w:color w:val="000000" w:themeColor="text1"/>
          <w:lang w:val="de-DE"/>
        </w:rPr>
      </w:pPr>
    </w:p>
    <w:p w14:paraId="1F8BC735" w14:textId="2BD7995E" w:rsidR="00381D20" w:rsidRPr="002A33AB" w:rsidRDefault="005F2F5F" w:rsidP="00894B27">
      <w:pPr>
        <w:pStyle w:val="DCUBodycopy"/>
        <w:spacing w:line="276" w:lineRule="auto"/>
        <w:jc w:val="both"/>
        <w:rPr>
          <w:rFonts w:asciiTheme="majorHAnsi" w:hAnsiTheme="majorHAnsi" w:cstheme="majorHAnsi"/>
          <w:color w:val="000000" w:themeColor="text1"/>
          <w:u w:val="single"/>
          <w:lang w:val="de-DE"/>
        </w:rPr>
      </w:pPr>
      <w:r w:rsidRPr="002A33AB">
        <w:rPr>
          <w:rFonts w:asciiTheme="majorHAnsi" w:hAnsiTheme="majorHAnsi" w:cstheme="majorHAnsi"/>
          <w:color w:val="000000" w:themeColor="text1"/>
          <w:u w:val="single"/>
          <w:lang w:val="de-DE"/>
        </w:rPr>
        <w:t>Die Bedeutung von Artikel</w:t>
      </w:r>
      <w:r w:rsidR="00381D20" w:rsidRPr="002A33AB">
        <w:rPr>
          <w:rFonts w:asciiTheme="majorHAnsi" w:hAnsiTheme="majorHAnsi" w:cstheme="majorHAnsi"/>
          <w:color w:val="000000" w:themeColor="text1"/>
          <w:u w:val="single"/>
          <w:lang w:val="de-DE"/>
        </w:rPr>
        <w:t xml:space="preserve"> 17</w:t>
      </w:r>
    </w:p>
    <w:p w14:paraId="5065EEAE" w14:textId="77777777" w:rsidR="00F34CA3" w:rsidRPr="002A33AB" w:rsidRDefault="00F34CA3" w:rsidP="00894B27">
      <w:pPr>
        <w:pStyle w:val="DCUBodycopy"/>
        <w:spacing w:line="276" w:lineRule="auto"/>
        <w:jc w:val="both"/>
        <w:rPr>
          <w:rFonts w:asciiTheme="majorHAnsi" w:hAnsiTheme="majorHAnsi" w:cstheme="majorHAnsi"/>
          <w:color w:val="000000" w:themeColor="text1"/>
          <w:lang w:val="de-DE"/>
        </w:rPr>
      </w:pPr>
    </w:p>
    <w:p w14:paraId="5A69EEF6" w14:textId="55301F3A" w:rsidR="007101C4" w:rsidRPr="002A33AB" w:rsidRDefault="007101C4" w:rsidP="007101C4">
      <w:pPr>
        <w:pStyle w:val="DCUBodycopy"/>
        <w:spacing w:line="276" w:lineRule="auto"/>
        <w:jc w:val="both"/>
        <w:rPr>
          <w:rFonts w:asciiTheme="majorHAnsi" w:hAnsiTheme="majorHAnsi" w:cstheme="majorHAnsi"/>
          <w:color w:val="000000" w:themeColor="text1"/>
          <w:lang w:val="de-DE"/>
        </w:rPr>
      </w:pPr>
      <w:r w:rsidRPr="002A33AB">
        <w:rPr>
          <w:rFonts w:asciiTheme="majorHAnsi" w:hAnsiTheme="majorHAnsi" w:cstheme="majorHAnsi"/>
          <w:color w:val="000000" w:themeColor="text1"/>
          <w:lang w:val="de-DE"/>
        </w:rPr>
        <w:t>Die Welternährungsorganisation (FAO) hat Costa Rica und Irland als Länder identifiziert, die glaubwürdige nationale Prozesse des klimabezogenen Übergangs entwickeln. Der Wandel in Costa Rica ist erwähnenswert: Er beinhaltet die Reduzierung der Militärausgaben, ein wichtiges Thema für die Europäische Union wie auch in allen anderen Teilen der Welt.  Heute möchte ich mich jedoch auf Irland und insbesondere auf einen Bericht konzentrieren, der 2023 vom nationalen Wirtschafts- und Sozialrat veröffentlicht wurde.</w:t>
      </w:r>
    </w:p>
    <w:p w14:paraId="2D012DF5" w14:textId="77777777" w:rsidR="007101C4" w:rsidRPr="002A33AB" w:rsidRDefault="007101C4" w:rsidP="007101C4">
      <w:pPr>
        <w:pStyle w:val="DCUBodycopy"/>
        <w:spacing w:line="276" w:lineRule="auto"/>
        <w:jc w:val="both"/>
        <w:rPr>
          <w:rFonts w:asciiTheme="majorHAnsi" w:hAnsiTheme="majorHAnsi" w:cstheme="majorHAnsi"/>
          <w:color w:val="000000" w:themeColor="text1"/>
          <w:lang w:val="de-DE"/>
        </w:rPr>
      </w:pPr>
    </w:p>
    <w:p w14:paraId="3020C243" w14:textId="32E934EE" w:rsidR="007101C4" w:rsidRPr="002A33AB" w:rsidRDefault="007101C4" w:rsidP="007101C4">
      <w:pPr>
        <w:pStyle w:val="DCUBodycopy"/>
        <w:spacing w:line="276" w:lineRule="auto"/>
        <w:jc w:val="both"/>
        <w:rPr>
          <w:rFonts w:asciiTheme="majorHAnsi" w:hAnsiTheme="majorHAnsi" w:cstheme="majorHAnsi"/>
          <w:color w:val="000000" w:themeColor="text1"/>
          <w:lang w:val="de-DE"/>
        </w:rPr>
      </w:pPr>
      <w:r w:rsidRPr="002A33AB">
        <w:rPr>
          <w:rFonts w:asciiTheme="majorHAnsi" w:hAnsiTheme="majorHAnsi" w:cstheme="majorHAnsi"/>
          <w:color w:val="000000" w:themeColor="text1"/>
          <w:lang w:val="de-DE"/>
        </w:rPr>
        <w:t xml:space="preserve">In diesem Bericht wird dargelegt, dass wir nicht nur technische Veränderungen in einzelnen Sektoren anstreben sollten – wie die Verringerung der Kohlenstoffemissionen, die Bindung von Kohlenstoff, die Änderung des Energieverbrauchs, die Verbesserung des Nährwerts von Lebensmitteln, die Wiederherstellung der Wasser- und Bodenqualität, den Tierschutz, die Förderung der biologischen Vielfalt und so weiter. Zusätzlich zu diesen grundlegenden Zielen ist eine übergreifende Vision erforderlich, die einzelne Landwirte und die Bauernverbände dazu anregt, sich auf einen positiven Wandel einzulassen. </w:t>
      </w:r>
    </w:p>
    <w:p w14:paraId="73C9612C" w14:textId="77777777" w:rsidR="007101C4" w:rsidRPr="002A33AB" w:rsidRDefault="007101C4" w:rsidP="007101C4">
      <w:pPr>
        <w:pStyle w:val="DCUBodycopy"/>
        <w:spacing w:line="276" w:lineRule="auto"/>
        <w:jc w:val="both"/>
        <w:rPr>
          <w:rFonts w:asciiTheme="majorHAnsi" w:hAnsiTheme="majorHAnsi" w:cstheme="majorHAnsi"/>
          <w:color w:val="000000" w:themeColor="text1"/>
          <w:lang w:val="de-DE"/>
        </w:rPr>
      </w:pPr>
    </w:p>
    <w:p w14:paraId="4D91D506" w14:textId="4DE6DC10" w:rsidR="007101C4" w:rsidRPr="002A33AB" w:rsidRDefault="007101C4" w:rsidP="007101C4">
      <w:pPr>
        <w:pStyle w:val="DCUBodycopy"/>
        <w:spacing w:line="276" w:lineRule="auto"/>
        <w:jc w:val="both"/>
        <w:rPr>
          <w:rFonts w:asciiTheme="majorHAnsi" w:hAnsiTheme="majorHAnsi" w:cstheme="majorHAnsi"/>
          <w:color w:val="000000" w:themeColor="text1"/>
          <w:lang w:val="de-DE"/>
        </w:rPr>
      </w:pPr>
      <w:r w:rsidRPr="002A33AB">
        <w:rPr>
          <w:rFonts w:asciiTheme="majorHAnsi" w:hAnsiTheme="majorHAnsi" w:cstheme="majorHAnsi"/>
          <w:color w:val="000000" w:themeColor="text1"/>
          <w:lang w:val="de-DE"/>
        </w:rPr>
        <w:t xml:space="preserve">Die Bereitstellung einer Vielzahl von öffentlichen Mitteln sollte sich nicht nur auf die Manager der landwirtschaftlichen Betriebe konzentrieren. So ist beispielsweise mehr Forschung zu den Auswirkungen des Übergangs auf die Arbeitnehmer in den Lieferketten und auf die nachgelagerten Tätigkeiten erforderlich. Bei jedem „gerechten Übergang“ gibt es zwangsläufig einige relative Verlierer. Für die Schwächsten sollte es gezielte finanzielle Unterstützung geben. Wir brauchen neue Formen von öffentlichen Investitionen in den Wohnungsbau und die Verkehrsinfrastruktur.  </w:t>
      </w:r>
    </w:p>
    <w:p w14:paraId="6EA622E4" w14:textId="77777777" w:rsidR="007101C4" w:rsidRPr="002A33AB" w:rsidRDefault="007101C4" w:rsidP="007101C4">
      <w:pPr>
        <w:pStyle w:val="DCUBodycopy"/>
        <w:spacing w:line="276" w:lineRule="auto"/>
        <w:jc w:val="both"/>
        <w:rPr>
          <w:rFonts w:asciiTheme="majorHAnsi" w:hAnsiTheme="majorHAnsi" w:cstheme="majorHAnsi"/>
          <w:color w:val="000000" w:themeColor="text1"/>
          <w:lang w:val="de-DE"/>
        </w:rPr>
      </w:pPr>
    </w:p>
    <w:p w14:paraId="1CA5D2DD" w14:textId="032D637C" w:rsidR="007101C4" w:rsidRPr="002A33AB" w:rsidRDefault="007101C4" w:rsidP="007101C4">
      <w:pPr>
        <w:pStyle w:val="DCUBodycopy"/>
        <w:spacing w:line="276" w:lineRule="auto"/>
        <w:jc w:val="both"/>
        <w:rPr>
          <w:rFonts w:asciiTheme="majorHAnsi" w:hAnsiTheme="majorHAnsi" w:cstheme="majorHAnsi"/>
          <w:i/>
          <w:iCs/>
          <w:color w:val="000000" w:themeColor="text1"/>
          <w:lang w:val="de-DE"/>
        </w:rPr>
      </w:pPr>
      <w:r w:rsidRPr="002A33AB">
        <w:rPr>
          <w:rFonts w:asciiTheme="majorHAnsi" w:hAnsiTheme="majorHAnsi" w:cstheme="majorHAnsi"/>
          <w:color w:val="000000" w:themeColor="text1"/>
          <w:lang w:val="de-DE"/>
        </w:rPr>
        <w:t xml:space="preserve">Die vielen Faktoren und Akteure, die an einer am Gemeinwohl orientierten Agenda für den Wandel beteiligt sind, erfordern innovative Wege der Zusammenarbeit mit den Beteiligten. Letztlich ist die Bereitstellung öffentlicher Güter eine politische Frage. Um einen konflikt- und krisenzentrierten Ansatz zu vermeiden und die erforderlichen Veränderungen voranzutreiben, müssen wir Räume finden, in denen wir gemeinsam beraten und dabei den </w:t>
      </w:r>
      <w:r w:rsidRPr="002A33AB">
        <w:rPr>
          <w:rFonts w:asciiTheme="majorHAnsi" w:hAnsiTheme="majorHAnsi" w:cstheme="majorHAnsi"/>
          <w:color w:val="000000" w:themeColor="text1"/>
          <w:lang w:val="de-DE"/>
        </w:rPr>
        <w:lastRenderedPageBreak/>
        <w:t xml:space="preserve">gesamten Kontext im Auge behalten können – einschließlich Fragen zu Lebensmitteln und Ernährung, globaler Ernährungssicherheit, EU-Politik und -Gesetzgebung sowie lokaler Demokratie.  Um es mit Voltaire zu sagen: </w:t>
      </w:r>
      <w:r w:rsidRPr="002A33AB">
        <w:rPr>
          <w:rFonts w:asciiTheme="majorHAnsi" w:hAnsiTheme="majorHAnsi" w:cstheme="majorHAnsi"/>
          <w:i/>
          <w:iCs/>
          <w:color w:val="000000" w:themeColor="text1"/>
          <w:lang w:val="de-DE"/>
        </w:rPr>
        <w:t>Wenn es Artikel 17 nicht gäbe, müsste man ihn erfinden!</w:t>
      </w:r>
    </w:p>
    <w:p w14:paraId="209734F0" w14:textId="77777777" w:rsidR="007101C4" w:rsidRPr="002A33AB" w:rsidRDefault="007101C4" w:rsidP="007101C4">
      <w:pPr>
        <w:pStyle w:val="DCUBodycopy"/>
        <w:spacing w:line="276" w:lineRule="auto"/>
        <w:jc w:val="both"/>
        <w:rPr>
          <w:rFonts w:asciiTheme="majorHAnsi" w:hAnsiTheme="majorHAnsi" w:cstheme="majorHAnsi"/>
          <w:color w:val="000000" w:themeColor="text1"/>
          <w:lang w:val="de-DE"/>
        </w:rPr>
      </w:pPr>
    </w:p>
    <w:p w14:paraId="3793FC7C" w14:textId="0FBB0EF5" w:rsidR="0082037C" w:rsidRPr="002A33AB" w:rsidRDefault="006504B0" w:rsidP="00894B27">
      <w:pPr>
        <w:pStyle w:val="DCUBodycopy"/>
        <w:spacing w:line="276" w:lineRule="auto"/>
        <w:jc w:val="both"/>
        <w:rPr>
          <w:rFonts w:asciiTheme="majorHAnsi" w:hAnsiTheme="majorHAnsi" w:cstheme="majorHAnsi"/>
          <w:color w:val="000000" w:themeColor="text1"/>
          <w:u w:val="single"/>
          <w:lang w:val="de-DE"/>
        </w:rPr>
      </w:pPr>
      <w:r w:rsidRPr="002A33AB">
        <w:rPr>
          <w:rFonts w:asciiTheme="majorHAnsi" w:hAnsiTheme="majorHAnsi" w:cstheme="majorHAnsi"/>
          <w:color w:val="000000" w:themeColor="text1"/>
          <w:u w:val="single"/>
          <w:lang w:val="de-DE"/>
        </w:rPr>
        <w:t>Grundsätze und Empfehlungen</w:t>
      </w:r>
    </w:p>
    <w:p w14:paraId="4349EE73" w14:textId="77777777" w:rsidR="0082037C" w:rsidRPr="002A33AB" w:rsidRDefault="0082037C" w:rsidP="00894B27">
      <w:pPr>
        <w:pStyle w:val="DCUBodycopy"/>
        <w:spacing w:line="276" w:lineRule="auto"/>
        <w:jc w:val="both"/>
        <w:rPr>
          <w:rFonts w:asciiTheme="majorHAnsi" w:hAnsiTheme="majorHAnsi" w:cstheme="majorHAnsi"/>
          <w:color w:val="000000" w:themeColor="text1"/>
          <w:lang w:val="de-DE"/>
        </w:rPr>
      </w:pPr>
    </w:p>
    <w:p w14:paraId="65D87641" w14:textId="145F9945" w:rsidR="00F747B3" w:rsidRPr="002A33AB" w:rsidRDefault="006504B0" w:rsidP="00894B27">
      <w:pPr>
        <w:pStyle w:val="DCUBodycopy"/>
        <w:spacing w:line="276" w:lineRule="auto"/>
        <w:jc w:val="both"/>
        <w:rPr>
          <w:rFonts w:asciiTheme="majorHAnsi" w:hAnsiTheme="majorHAnsi" w:cstheme="majorHAnsi"/>
          <w:color w:val="000000" w:themeColor="text1"/>
          <w:lang w:val="de-DE"/>
        </w:rPr>
      </w:pPr>
      <w:r w:rsidRPr="002A33AB">
        <w:rPr>
          <w:rFonts w:asciiTheme="majorHAnsi" w:hAnsiTheme="majorHAnsi" w:cstheme="majorHAnsi"/>
          <w:color w:val="000000" w:themeColor="text1"/>
          <w:lang w:val="de-DE"/>
        </w:rPr>
        <w:t>Abschließend möchte ich drei Grundsätze und zwei Empfehlungen aussprechen:</w:t>
      </w:r>
    </w:p>
    <w:p w14:paraId="1781EEDC" w14:textId="77777777" w:rsidR="006504B0" w:rsidRPr="002A33AB" w:rsidRDefault="006504B0" w:rsidP="00894B27">
      <w:pPr>
        <w:pStyle w:val="DCUBodycopy"/>
        <w:spacing w:line="276" w:lineRule="auto"/>
        <w:jc w:val="both"/>
        <w:rPr>
          <w:rFonts w:asciiTheme="majorHAnsi" w:hAnsiTheme="majorHAnsi" w:cstheme="majorHAnsi"/>
          <w:color w:val="000000" w:themeColor="text1"/>
          <w:lang w:val="de-DE"/>
        </w:rPr>
      </w:pPr>
    </w:p>
    <w:p w14:paraId="3BD2E281" w14:textId="24484376" w:rsidR="006504B0" w:rsidRPr="002A33AB" w:rsidRDefault="006504B0" w:rsidP="00894B27">
      <w:pPr>
        <w:pStyle w:val="DCUBodycopy"/>
        <w:numPr>
          <w:ilvl w:val="0"/>
          <w:numId w:val="7"/>
        </w:numPr>
        <w:spacing w:line="276" w:lineRule="auto"/>
        <w:jc w:val="both"/>
        <w:rPr>
          <w:rFonts w:asciiTheme="majorHAnsi" w:hAnsiTheme="majorHAnsi" w:cstheme="majorHAnsi"/>
          <w:color w:val="000000" w:themeColor="text1"/>
          <w:lang w:val="de-DE"/>
        </w:rPr>
      </w:pPr>
      <w:r w:rsidRPr="002A33AB">
        <w:rPr>
          <w:rFonts w:asciiTheme="majorHAnsi" w:hAnsiTheme="majorHAnsi" w:cstheme="majorHAnsi"/>
          <w:color w:val="000000" w:themeColor="text1"/>
          <w:lang w:val="de-DE"/>
        </w:rPr>
        <w:t>Ökologie und Ernährungssicherheit gehören zusammen: Wir müssen die primären Güter des Lebens teilen und gleichzeitig eine längerfristige Verantwortung für die Förderung der ökologischen Bedingungen übernehmen, von denen das Leben abhängt.</w:t>
      </w:r>
    </w:p>
    <w:p w14:paraId="443F0940" w14:textId="77777777" w:rsidR="006504B0" w:rsidRPr="002A33AB" w:rsidRDefault="006504B0" w:rsidP="00894B27">
      <w:pPr>
        <w:pStyle w:val="DCUBodycopy"/>
        <w:numPr>
          <w:ilvl w:val="0"/>
          <w:numId w:val="7"/>
        </w:numPr>
        <w:spacing w:before="100" w:line="276" w:lineRule="auto"/>
        <w:ind w:right="125"/>
        <w:contextualSpacing/>
        <w:jc w:val="both"/>
        <w:rPr>
          <w:rFonts w:asciiTheme="majorHAnsi" w:hAnsiTheme="majorHAnsi" w:cstheme="majorHAnsi"/>
          <w:color w:val="000000" w:themeColor="text1"/>
          <w:lang w:val="de-DE"/>
        </w:rPr>
      </w:pPr>
      <w:r w:rsidRPr="002A33AB">
        <w:rPr>
          <w:rFonts w:asciiTheme="majorHAnsi" w:hAnsiTheme="majorHAnsi" w:cstheme="majorHAnsi"/>
          <w:color w:val="000000" w:themeColor="text1"/>
          <w:lang w:val="de-DE"/>
        </w:rPr>
        <w:t>Der Übergang zur Bereitstellung öffentlicher Güter erfordert neue Wege der Zusammenarbeit mit Interessengruppen, bei denen ortsbezogene oder lokalisierte Ansätze im Mittelpunkt stehen.</w:t>
      </w:r>
    </w:p>
    <w:p w14:paraId="465F5EC6" w14:textId="1C354FB1" w:rsidR="003F00A7" w:rsidRPr="002A33AB" w:rsidRDefault="006504B0" w:rsidP="00894B27">
      <w:pPr>
        <w:pStyle w:val="DCUBodycopy"/>
        <w:numPr>
          <w:ilvl w:val="0"/>
          <w:numId w:val="7"/>
        </w:numPr>
        <w:spacing w:before="100" w:line="276" w:lineRule="auto"/>
        <w:ind w:right="125"/>
        <w:contextualSpacing/>
        <w:jc w:val="both"/>
        <w:rPr>
          <w:rFonts w:asciiTheme="majorHAnsi" w:hAnsiTheme="majorHAnsi" w:cstheme="majorHAnsi"/>
          <w:color w:val="000000" w:themeColor="text1"/>
          <w:lang w:val="de-DE"/>
        </w:rPr>
      </w:pPr>
      <w:r w:rsidRPr="002A33AB">
        <w:rPr>
          <w:rFonts w:asciiTheme="majorHAnsi" w:hAnsiTheme="majorHAnsi" w:cstheme="majorHAnsi"/>
          <w:color w:val="000000" w:themeColor="text1"/>
          <w:lang w:val="de-DE"/>
        </w:rPr>
        <w:t>In der Wirtschaft im weiteren Sinne, wie auch in der Landwirtschaft, wird eine Dichotomie zwischen gewinnorientierten und nicht gewinnorientierten Aktivitäten der Realität nicht vollständig gerecht und bietet keine angemessene praktische Orientierung für die Zukunft.</w:t>
      </w:r>
    </w:p>
    <w:p w14:paraId="7B327DA2" w14:textId="77777777" w:rsidR="006504B0" w:rsidRPr="002A33AB" w:rsidRDefault="006504B0" w:rsidP="006504B0">
      <w:pPr>
        <w:pStyle w:val="DCUBodycopy"/>
        <w:spacing w:before="100" w:line="276" w:lineRule="auto"/>
        <w:ind w:left="1080" w:right="125"/>
        <w:contextualSpacing/>
        <w:jc w:val="both"/>
        <w:rPr>
          <w:rFonts w:asciiTheme="majorHAnsi" w:hAnsiTheme="majorHAnsi" w:cstheme="majorHAnsi"/>
          <w:color w:val="000000" w:themeColor="text1"/>
          <w:lang w:val="de-DE"/>
        </w:rPr>
      </w:pPr>
    </w:p>
    <w:p w14:paraId="14EF12C0" w14:textId="37866796" w:rsidR="007E3ED4" w:rsidRPr="002A33AB" w:rsidRDefault="006504B0" w:rsidP="00894B27">
      <w:pPr>
        <w:spacing w:line="276" w:lineRule="auto"/>
        <w:contextualSpacing/>
        <w:jc w:val="both"/>
        <w:rPr>
          <w:rFonts w:asciiTheme="majorHAnsi" w:hAnsiTheme="majorHAnsi" w:cstheme="majorHAnsi"/>
          <w:color w:val="000000" w:themeColor="text1"/>
          <w:lang w:val="de-DE"/>
        </w:rPr>
      </w:pPr>
      <w:r w:rsidRPr="002A33AB">
        <w:rPr>
          <w:rFonts w:asciiTheme="majorHAnsi" w:hAnsiTheme="majorHAnsi" w:cstheme="majorHAnsi"/>
          <w:color w:val="000000" w:themeColor="text1"/>
          <w:lang w:val="de-DE"/>
        </w:rPr>
        <w:t>Unter diesem Blickwinkel lauten meine beiden praktischen Empfehlungen wie folgt:</w:t>
      </w:r>
    </w:p>
    <w:p w14:paraId="5DDCB55F" w14:textId="77777777" w:rsidR="006504B0" w:rsidRPr="002A33AB" w:rsidRDefault="006504B0" w:rsidP="00894B27">
      <w:pPr>
        <w:spacing w:line="276" w:lineRule="auto"/>
        <w:contextualSpacing/>
        <w:jc w:val="both"/>
        <w:rPr>
          <w:rFonts w:asciiTheme="majorHAnsi" w:hAnsiTheme="majorHAnsi" w:cstheme="majorHAnsi"/>
          <w:color w:val="000000" w:themeColor="text1"/>
          <w:lang w:val="de-DE"/>
        </w:rPr>
      </w:pPr>
    </w:p>
    <w:p w14:paraId="5BC11656" w14:textId="2496D45A" w:rsidR="003B37F7" w:rsidRPr="002A33AB" w:rsidRDefault="003B37F7" w:rsidP="00894B27">
      <w:pPr>
        <w:pStyle w:val="Paragrafoelenco"/>
        <w:numPr>
          <w:ilvl w:val="0"/>
          <w:numId w:val="6"/>
        </w:numPr>
        <w:spacing w:line="276" w:lineRule="auto"/>
        <w:jc w:val="both"/>
        <w:rPr>
          <w:rFonts w:asciiTheme="majorHAnsi" w:hAnsiTheme="majorHAnsi" w:cstheme="majorHAnsi"/>
          <w:color w:val="000000" w:themeColor="text1"/>
          <w:u w:val="single"/>
          <w:lang w:val="de-DE"/>
        </w:rPr>
      </w:pPr>
      <w:r w:rsidRPr="002A33AB">
        <w:rPr>
          <w:rFonts w:asciiTheme="majorHAnsi" w:hAnsiTheme="majorHAnsi" w:cstheme="majorHAnsi"/>
          <w:color w:val="000000" w:themeColor="text1"/>
          <w:lang w:val="de-DE"/>
        </w:rPr>
        <w:t>Wir sollten Artikel 17 kreativ nutzen, um einen Rahmen für den Dialog aller Interessengruppen auf Ebene der Mitgliedstaaten, der Regionen und der Kommunen zu schaffen.</w:t>
      </w:r>
    </w:p>
    <w:p w14:paraId="7F9CF3EB" w14:textId="0E102D7E" w:rsidR="00D257A0" w:rsidRPr="002A33AB" w:rsidRDefault="003B37F7" w:rsidP="003B37F7">
      <w:pPr>
        <w:pStyle w:val="Paragrafoelenco"/>
        <w:numPr>
          <w:ilvl w:val="0"/>
          <w:numId w:val="6"/>
        </w:numPr>
        <w:spacing w:line="276" w:lineRule="auto"/>
        <w:jc w:val="both"/>
        <w:rPr>
          <w:rFonts w:asciiTheme="majorHAnsi" w:eastAsia="Times New Roman" w:hAnsiTheme="majorHAnsi" w:cstheme="majorHAnsi"/>
          <w:color w:val="000000" w:themeColor="text1"/>
          <w:kern w:val="0"/>
          <w:lang w:val="de-DE" w:eastAsia="en-GB"/>
          <w14:ligatures w14:val="none"/>
        </w:rPr>
      </w:pPr>
      <w:r w:rsidRPr="002A33AB">
        <w:rPr>
          <w:rFonts w:asciiTheme="majorHAnsi" w:eastAsia="Times New Roman" w:hAnsiTheme="majorHAnsi" w:cstheme="majorHAnsi"/>
          <w:color w:val="000000" w:themeColor="text1"/>
          <w:kern w:val="0"/>
          <w:lang w:val="de-DE" w:eastAsia="en-GB"/>
          <w14:ligatures w14:val="none"/>
        </w:rPr>
        <w:t xml:space="preserve">Diese Rahmen für den Dialog sollten durch eine Forschungsagenda unterstützt werden, die darauf abzielt, die vielen Situationen zu klären, in denen sowohl gewinnorientierte als auch nicht gewinnorientierte Überlegungen eine Rolle spielen. Dieses neue Forschungsprogramm sollte zur Entwicklung von Rechtsrahmen, einschlägigen Verhaltenskodizes auf Regierungsebene und neuen Umwelt-, Sozial- und </w:t>
      </w:r>
      <w:proofErr w:type="spellStart"/>
      <w:r w:rsidRPr="002A33AB">
        <w:rPr>
          <w:rFonts w:asciiTheme="majorHAnsi" w:eastAsia="Times New Roman" w:hAnsiTheme="majorHAnsi" w:cstheme="majorHAnsi"/>
          <w:color w:val="000000" w:themeColor="text1"/>
          <w:kern w:val="0"/>
          <w:lang w:val="de-DE" w:eastAsia="en-GB"/>
          <w14:ligatures w14:val="none"/>
        </w:rPr>
        <w:t>Governance</w:t>
      </w:r>
      <w:proofErr w:type="spellEnd"/>
      <w:r w:rsidRPr="002A33AB">
        <w:rPr>
          <w:rFonts w:asciiTheme="majorHAnsi" w:eastAsia="Times New Roman" w:hAnsiTheme="majorHAnsi" w:cstheme="majorHAnsi"/>
          <w:color w:val="000000" w:themeColor="text1"/>
          <w:kern w:val="0"/>
          <w:lang w:val="de-DE" w:eastAsia="en-GB"/>
          <w14:ligatures w14:val="none"/>
        </w:rPr>
        <w:t>-Kennzahlen (ESG) beitragen.</w:t>
      </w:r>
    </w:p>
    <w:sectPr w:rsidR="00D257A0" w:rsidRPr="002A33AB">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F10035" w14:textId="77777777" w:rsidR="00143C53" w:rsidRDefault="00143C53" w:rsidP="00E10FCD">
      <w:r>
        <w:separator/>
      </w:r>
    </w:p>
  </w:endnote>
  <w:endnote w:type="continuationSeparator" w:id="0">
    <w:p w14:paraId="51FC6048" w14:textId="77777777" w:rsidR="00143C53" w:rsidRDefault="00143C53" w:rsidP="00E10F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Numeropagina"/>
      </w:rPr>
      <w:id w:val="-1042755673"/>
      <w:docPartObj>
        <w:docPartGallery w:val="Page Numbers (Bottom of Page)"/>
        <w:docPartUnique/>
      </w:docPartObj>
    </w:sdtPr>
    <w:sdtEndPr>
      <w:rPr>
        <w:rStyle w:val="Numeropagina"/>
      </w:rPr>
    </w:sdtEndPr>
    <w:sdtContent>
      <w:p w14:paraId="0D168404" w14:textId="77777777" w:rsidR="006D6CE2" w:rsidRDefault="006D6CE2" w:rsidP="007B1BE0">
        <w:pPr>
          <w:pStyle w:val="Pidipagina"/>
          <w:framePr w:wrap="none" w:vAnchor="text" w:hAnchor="margin" w:xAlign="center" w:y="1"/>
          <w:rPr>
            <w:rStyle w:val="Numeropagina"/>
          </w:rPr>
        </w:pPr>
        <w:r>
          <w:rPr>
            <w:rStyle w:val="Numeropagina"/>
          </w:rPr>
          <w:fldChar w:fldCharType="begin"/>
        </w:r>
        <w:r>
          <w:rPr>
            <w:rStyle w:val="Numeropagina"/>
          </w:rPr>
          <w:instrText xml:space="preserve"> PAGE </w:instrText>
        </w:r>
        <w:r>
          <w:rPr>
            <w:rStyle w:val="Numeropagina"/>
          </w:rPr>
          <w:fldChar w:fldCharType="end"/>
        </w:r>
      </w:p>
    </w:sdtContent>
  </w:sdt>
  <w:p w14:paraId="33D3359E" w14:textId="77777777" w:rsidR="006D6CE2" w:rsidRDefault="006D6CE2">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Numeropagina"/>
      </w:rPr>
      <w:id w:val="-1603788419"/>
      <w:docPartObj>
        <w:docPartGallery w:val="Page Numbers (Bottom of Page)"/>
        <w:docPartUnique/>
      </w:docPartObj>
    </w:sdtPr>
    <w:sdtEndPr>
      <w:rPr>
        <w:rStyle w:val="Numeropagina"/>
      </w:rPr>
    </w:sdtEndPr>
    <w:sdtContent>
      <w:p w14:paraId="09ABC841" w14:textId="77777777" w:rsidR="006D6CE2" w:rsidRDefault="006D6CE2" w:rsidP="007B1BE0">
        <w:pPr>
          <w:pStyle w:val="Pidipagina"/>
          <w:framePr w:wrap="none" w:vAnchor="text" w:hAnchor="margin" w:xAlign="center" w:y="1"/>
          <w:rPr>
            <w:rStyle w:val="Numeropagina"/>
          </w:rPr>
        </w:pPr>
        <w:r>
          <w:rPr>
            <w:rStyle w:val="Numeropagina"/>
          </w:rPr>
          <w:fldChar w:fldCharType="begin"/>
        </w:r>
        <w:r>
          <w:rPr>
            <w:rStyle w:val="Numeropagina"/>
          </w:rPr>
          <w:instrText xml:space="preserve"> PAGE </w:instrText>
        </w:r>
        <w:r>
          <w:rPr>
            <w:rStyle w:val="Numeropagina"/>
          </w:rPr>
          <w:fldChar w:fldCharType="separate"/>
        </w:r>
        <w:r w:rsidR="002A33AB">
          <w:rPr>
            <w:rStyle w:val="Numeropagina"/>
            <w:noProof/>
          </w:rPr>
          <w:t>1</w:t>
        </w:r>
        <w:r>
          <w:rPr>
            <w:rStyle w:val="Numeropagina"/>
          </w:rPr>
          <w:fldChar w:fldCharType="end"/>
        </w:r>
      </w:p>
    </w:sdtContent>
  </w:sdt>
  <w:p w14:paraId="1E2E21A2" w14:textId="77777777" w:rsidR="006D6CE2" w:rsidRDefault="006D6CE2">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B22926" w14:textId="77777777" w:rsidR="00143C53" w:rsidRDefault="00143C53" w:rsidP="00E10FCD">
      <w:r>
        <w:separator/>
      </w:r>
    </w:p>
  </w:footnote>
  <w:footnote w:type="continuationSeparator" w:id="0">
    <w:p w14:paraId="4DD8B703" w14:textId="77777777" w:rsidR="00143C53" w:rsidRDefault="00143C53" w:rsidP="00E10F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F641C8"/>
    <w:multiLevelType w:val="hybridMultilevel"/>
    <w:tmpl w:val="BAB89468"/>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71E1686"/>
    <w:multiLevelType w:val="hybridMultilevel"/>
    <w:tmpl w:val="576ACF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76D5CA6"/>
    <w:multiLevelType w:val="hybridMultilevel"/>
    <w:tmpl w:val="03843B7E"/>
    <w:lvl w:ilvl="0" w:tplc="BC4432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E3D2CED"/>
    <w:multiLevelType w:val="hybridMultilevel"/>
    <w:tmpl w:val="9514A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9B22C56"/>
    <w:multiLevelType w:val="hybridMultilevel"/>
    <w:tmpl w:val="A866D368"/>
    <w:lvl w:ilvl="0" w:tplc="08090013">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6C2471B2"/>
    <w:multiLevelType w:val="hybridMultilevel"/>
    <w:tmpl w:val="38E282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6F99163E"/>
    <w:multiLevelType w:val="hybridMultilevel"/>
    <w:tmpl w:val="F4D2BED6"/>
    <w:lvl w:ilvl="0" w:tplc="B096E1DC">
      <w:start w:val="1"/>
      <w:numFmt w:val="lowerRoman"/>
      <w:lvlText w:val="%1."/>
      <w:lvlJc w:val="right"/>
      <w:pPr>
        <w:ind w:left="720" w:hanging="360"/>
      </w:pPr>
      <w:rPr>
        <w:rFonts w:hint="default"/>
        <w:i w:val="0"/>
        <w:i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7F5D6CEE"/>
    <w:multiLevelType w:val="hybridMultilevel"/>
    <w:tmpl w:val="D1CC160E"/>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6"/>
  </w:num>
  <w:num w:numId="4">
    <w:abstractNumId w:val="7"/>
  </w:num>
  <w:num w:numId="5">
    <w:abstractNumId w:val="5"/>
  </w:num>
  <w:num w:numId="6">
    <w:abstractNumId w:val="1"/>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7A0"/>
    <w:rsid w:val="00143C53"/>
    <w:rsid w:val="001A77E5"/>
    <w:rsid w:val="00222C47"/>
    <w:rsid w:val="00243F2C"/>
    <w:rsid w:val="00246C45"/>
    <w:rsid w:val="002A33AB"/>
    <w:rsid w:val="002B0051"/>
    <w:rsid w:val="002F0E0F"/>
    <w:rsid w:val="00381D20"/>
    <w:rsid w:val="003A23C2"/>
    <w:rsid w:val="003B2E7A"/>
    <w:rsid w:val="003B37F7"/>
    <w:rsid w:val="003F00A7"/>
    <w:rsid w:val="0047383B"/>
    <w:rsid w:val="005F2F5F"/>
    <w:rsid w:val="006504B0"/>
    <w:rsid w:val="006A7D58"/>
    <w:rsid w:val="006D6CE2"/>
    <w:rsid w:val="007101C4"/>
    <w:rsid w:val="007E3ED4"/>
    <w:rsid w:val="007F7FD6"/>
    <w:rsid w:val="0082037C"/>
    <w:rsid w:val="00892844"/>
    <w:rsid w:val="00894B27"/>
    <w:rsid w:val="00914F65"/>
    <w:rsid w:val="00920ED2"/>
    <w:rsid w:val="00977860"/>
    <w:rsid w:val="00C371B6"/>
    <w:rsid w:val="00CB7930"/>
    <w:rsid w:val="00CC1A18"/>
    <w:rsid w:val="00D257A0"/>
    <w:rsid w:val="00E10FCD"/>
    <w:rsid w:val="00ED2345"/>
    <w:rsid w:val="00F34CA3"/>
    <w:rsid w:val="00F747B3"/>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1D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IE"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page number"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1"/>
    <w:qFormat/>
    <w:rsid w:val="00D257A0"/>
    <w:pPr>
      <w:widowControl w:val="0"/>
      <w:autoSpaceDE w:val="0"/>
      <w:autoSpaceDN w:val="0"/>
    </w:pPr>
    <w:rPr>
      <w:rFonts w:ascii="Calibri" w:eastAsia="Calibri" w:hAnsi="Calibri" w:cs="Calibri"/>
      <w:kern w:val="0"/>
      <w:lang w:val="en-US"/>
      <w14:ligatures w14:val="none"/>
    </w:rPr>
  </w:style>
  <w:style w:type="character" w:customStyle="1" w:styleId="CorpotestoCarattere">
    <w:name w:val="Corpo testo Carattere"/>
    <w:basedOn w:val="Carpredefinitoparagrafo"/>
    <w:link w:val="Corpotesto"/>
    <w:uiPriority w:val="1"/>
    <w:rsid w:val="00D257A0"/>
    <w:rPr>
      <w:rFonts w:ascii="Calibri" w:eastAsia="Calibri" w:hAnsi="Calibri" w:cs="Calibri"/>
      <w:kern w:val="0"/>
      <w:lang w:val="en-US"/>
      <w14:ligatures w14:val="none"/>
    </w:rPr>
  </w:style>
  <w:style w:type="character" w:styleId="Numeropagina">
    <w:name w:val="page number"/>
    <w:rsid w:val="00D257A0"/>
    <w:rPr>
      <w:lang w:val="en-US"/>
    </w:rPr>
  </w:style>
  <w:style w:type="paragraph" w:customStyle="1" w:styleId="Body">
    <w:name w:val="Body"/>
    <w:rsid w:val="00D257A0"/>
    <w:pPr>
      <w:pBdr>
        <w:top w:val="nil"/>
        <w:left w:val="nil"/>
        <w:bottom w:val="nil"/>
        <w:right w:val="nil"/>
        <w:between w:val="nil"/>
        <w:bar w:val="nil"/>
      </w:pBdr>
    </w:pPr>
    <w:rPr>
      <w:rFonts w:ascii="Times New Roman" w:eastAsia="Times New Roman" w:hAnsi="Times New Roman" w:cs="Times New Roman"/>
      <w:color w:val="000000"/>
      <w:kern w:val="0"/>
      <w:u w:color="000000"/>
      <w:bdr w:val="nil"/>
      <w:lang w:val="en-US"/>
      <w14:ligatures w14:val="none"/>
    </w:rPr>
  </w:style>
  <w:style w:type="paragraph" w:styleId="NormaleWeb">
    <w:name w:val="Normal (Web)"/>
    <w:basedOn w:val="Normale"/>
    <w:uiPriority w:val="99"/>
    <w:unhideWhenUsed/>
    <w:rsid w:val="00D257A0"/>
    <w:pPr>
      <w:spacing w:before="100" w:beforeAutospacing="1" w:after="100" w:afterAutospacing="1"/>
    </w:pPr>
    <w:rPr>
      <w:rFonts w:ascii="Times New Roman" w:eastAsia="Times New Roman" w:hAnsi="Times New Roman" w:cs="Times New Roman"/>
      <w:color w:val="000000" w:themeColor="text1"/>
      <w:kern w:val="0"/>
      <w:lang w:val="en-US"/>
      <w14:ligatures w14:val="none"/>
    </w:rPr>
  </w:style>
  <w:style w:type="paragraph" w:customStyle="1" w:styleId="DCUBodycopy">
    <w:name w:val="DCU Body copy"/>
    <w:basedOn w:val="Normale"/>
    <w:qFormat/>
    <w:rsid w:val="00E10FCD"/>
    <w:pPr>
      <w:spacing w:line="280" w:lineRule="exact"/>
    </w:pPr>
    <w:rPr>
      <w:rFonts w:ascii="Arial" w:hAnsi="Arial" w:cs="Arial"/>
      <w:color w:val="00334F"/>
      <w:kern w:val="0"/>
      <w:lang w:val="en-GB"/>
      <w14:ligatures w14:val="none"/>
    </w:rPr>
  </w:style>
  <w:style w:type="character" w:styleId="Collegamentoipertestuale">
    <w:name w:val="Hyperlink"/>
    <w:basedOn w:val="Carpredefinitoparagrafo"/>
    <w:uiPriority w:val="99"/>
    <w:unhideWhenUsed/>
    <w:rsid w:val="00E10FCD"/>
    <w:rPr>
      <w:color w:val="0563C1" w:themeColor="hyperlink"/>
      <w:u w:val="single"/>
    </w:rPr>
  </w:style>
  <w:style w:type="paragraph" w:styleId="Testonotaapidipagina">
    <w:name w:val="footnote text"/>
    <w:aliases w:val="Footnote Text (alt f)"/>
    <w:basedOn w:val="Normale"/>
    <w:link w:val="TestonotaapidipaginaCarattere"/>
    <w:uiPriority w:val="99"/>
    <w:unhideWhenUsed/>
    <w:qFormat/>
    <w:rsid w:val="00E10FCD"/>
    <w:rPr>
      <w:sz w:val="20"/>
      <w:szCs w:val="20"/>
    </w:rPr>
  </w:style>
  <w:style w:type="character" w:customStyle="1" w:styleId="TestonotaapidipaginaCarattere">
    <w:name w:val="Testo nota a piè di pagina Carattere"/>
    <w:aliases w:val="Footnote Text (alt f) Carattere"/>
    <w:basedOn w:val="Carpredefinitoparagrafo"/>
    <w:link w:val="Testonotaapidipagina"/>
    <w:uiPriority w:val="99"/>
    <w:rsid w:val="00E10FCD"/>
    <w:rPr>
      <w:sz w:val="20"/>
      <w:szCs w:val="20"/>
    </w:rPr>
  </w:style>
  <w:style w:type="character" w:styleId="Rimandonotaapidipagina">
    <w:name w:val="footnote reference"/>
    <w:basedOn w:val="Carpredefinitoparagrafo"/>
    <w:uiPriority w:val="99"/>
    <w:unhideWhenUsed/>
    <w:rsid w:val="00E10FCD"/>
    <w:rPr>
      <w:vertAlign w:val="superscript"/>
    </w:rPr>
  </w:style>
  <w:style w:type="character" w:customStyle="1" w:styleId="None">
    <w:name w:val="None"/>
    <w:rsid w:val="00E10FCD"/>
  </w:style>
  <w:style w:type="paragraph" w:customStyle="1" w:styleId="BodyA">
    <w:name w:val="Body A"/>
    <w:rsid w:val="00E10FCD"/>
    <w:pPr>
      <w:pBdr>
        <w:top w:val="nil"/>
        <w:left w:val="nil"/>
        <w:bottom w:val="nil"/>
        <w:right w:val="nil"/>
        <w:between w:val="nil"/>
        <w:bar w:val="nil"/>
      </w:pBdr>
    </w:pPr>
    <w:rPr>
      <w:rFonts w:ascii="Calibri" w:eastAsia="Calibri" w:hAnsi="Calibri" w:cs="Calibri"/>
      <w:color w:val="000000"/>
      <w:kern w:val="0"/>
      <w:u w:color="000000"/>
      <w:bdr w:val="nil"/>
      <w:lang w:val="en-US"/>
      <w14:ligatures w14:val="none"/>
    </w:rPr>
  </w:style>
  <w:style w:type="paragraph" w:styleId="Paragrafoelenco">
    <w:name w:val="List Paragraph"/>
    <w:basedOn w:val="Normale"/>
    <w:qFormat/>
    <w:rsid w:val="00F34CA3"/>
    <w:pPr>
      <w:ind w:left="720"/>
      <w:contextualSpacing/>
    </w:pPr>
  </w:style>
  <w:style w:type="paragraph" w:styleId="Pidipagina">
    <w:name w:val="footer"/>
    <w:basedOn w:val="Normale"/>
    <w:link w:val="PidipaginaCarattere"/>
    <w:uiPriority w:val="99"/>
    <w:unhideWhenUsed/>
    <w:rsid w:val="006D6CE2"/>
    <w:pPr>
      <w:tabs>
        <w:tab w:val="center" w:pos="4513"/>
        <w:tab w:val="right" w:pos="9026"/>
      </w:tabs>
    </w:pPr>
  </w:style>
  <w:style w:type="character" w:customStyle="1" w:styleId="PidipaginaCarattere">
    <w:name w:val="Piè di pagina Carattere"/>
    <w:basedOn w:val="Carpredefinitoparagrafo"/>
    <w:link w:val="Pidipagina"/>
    <w:uiPriority w:val="99"/>
    <w:rsid w:val="006D6CE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IE"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page number"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1"/>
    <w:qFormat/>
    <w:rsid w:val="00D257A0"/>
    <w:pPr>
      <w:widowControl w:val="0"/>
      <w:autoSpaceDE w:val="0"/>
      <w:autoSpaceDN w:val="0"/>
    </w:pPr>
    <w:rPr>
      <w:rFonts w:ascii="Calibri" w:eastAsia="Calibri" w:hAnsi="Calibri" w:cs="Calibri"/>
      <w:kern w:val="0"/>
      <w:lang w:val="en-US"/>
      <w14:ligatures w14:val="none"/>
    </w:rPr>
  </w:style>
  <w:style w:type="character" w:customStyle="1" w:styleId="CorpotestoCarattere">
    <w:name w:val="Corpo testo Carattere"/>
    <w:basedOn w:val="Carpredefinitoparagrafo"/>
    <w:link w:val="Corpotesto"/>
    <w:uiPriority w:val="1"/>
    <w:rsid w:val="00D257A0"/>
    <w:rPr>
      <w:rFonts w:ascii="Calibri" w:eastAsia="Calibri" w:hAnsi="Calibri" w:cs="Calibri"/>
      <w:kern w:val="0"/>
      <w:lang w:val="en-US"/>
      <w14:ligatures w14:val="none"/>
    </w:rPr>
  </w:style>
  <w:style w:type="character" w:styleId="Numeropagina">
    <w:name w:val="page number"/>
    <w:rsid w:val="00D257A0"/>
    <w:rPr>
      <w:lang w:val="en-US"/>
    </w:rPr>
  </w:style>
  <w:style w:type="paragraph" w:customStyle="1" w:styleId="Body">
    <w:name w:val="Body"/>
    <w:rsid w:val="00D257A0"/>
    <w:pPr>
      <w:pBdr>
        <w:top w:val="nil"/>
        <w:left w:val="nil"/>
        <w:bottom w:val="nil"/>
        <w:right w:val="nil"/>
        <w:between w:val="nil"/>
        <w:bar w:val="nil"/>
      </w:pBdr>
    </w:pPr>
    <w:rPr>
      <w:rFonts w:ascii="Times New Roman" w:eastAsia="Times New Roman" w:hAnsi="Times New Roman" w:cs="Times New Roman"/>
      <w:color w:val="000000"/>
      <w:kern w:val="0"/>
      <w:u w:color="000000"/>
      <w:bdr w:val="nil"/>
      <w:lang w:val="en-US"/>
      <w14:ligatures w14:val="none"/>
    </w:rPr>
  </w:style>
  <w:style w:type="paragraph" w:styleId="NormaleWeb">
    <w:name w:val="Normal (Web)"/>
    <w:basedOn w:val="Normale"/>
    <w:uiPriority w:val="99"/>
    <w:unhideWhenUsed/>
    <w:rsid w:val="00D257A0"/>
    <w:pPr>
      <w:spacing w:before="100" w:beforeAutospacing="1" w:after="100" w:afterAutospacing="1"/>
    </w:pPr>
    <w:rPr>
      <w:rFonts w:ascii="Times New Roman" w:eastAsia="Times New Roman" w:hAnsi="Times New Roman" w:cs="Times New Roman"/>
      <w:color w:val="000000" w:themeColor="text1"/>
      <w:kern w:val="0"/>
      <w:lang w:val="en-US"/>
      <w14:ligatures w14:val="none"/>
    </w:rPr>
  </w:style>
  <w:style w:type="paragraph" w:customStyle="1" w:styleId="DCUBodycopy">
    <w:name w:val="DCU Body copy"/>
    <w:basedOn w:val="Normale"/>
    <w:qFormat/>
    <w:rsid w:val="00E10FCD"/>
    <w:pPr>
      <w:spacing w:line="280" w:lineRule="exact"/>
    </w:pPr>
    <w:rPr>
      <w:rFonts w:ascii="Arial" w:hAnsi="Arial" w:cs="Arial"/>
      <w:color w:val="00334F"/>
      <w:kern w:val="0"/>
      <w:lang w:val="en-GB"/>
      <w14:ligatures w14:val="none"/>
    </w:rPr>
  </w:style>
  <w:style w:type="character" w:styleId="Collegamentoipertestuale">
    <w:name w:val="Hyperlink"/>
    <w:basedOn w:val="Carpredefinitoparagrafo"/>
    <w:uiPriority w:val="99"/>
    <w:unhideWhenUsed/>
    <w:rsid w:val="00E10FCD"/>
    <w:rPr>
      <w:color w:val="0563C1" w:themeColor="hyperlink"/>
      <w:u w:val="single"/>
    </w:rPr>
  </w:style>
  <w:style w:type="paragraph" w:styleId="Testonotaapidipagina">
    <w:name w:val="footnote text"/>
    <w:aliases w:val="Footnote Text (alt f)"/>
    <w:basedOn w:val="Normale"/>
    <w:link w:val="TestonotaapidipaginaCarattere"/>
    <w:uiPriority w:val="99"/>
    <w:unhideWhenUsed/>
    <w:qFormat/>
    <w:rsid w:val="00E10FCD"/>
    <w:rPr>
      <w:sz w:val="20"/>
      <w:szCs w:val="20"/>
    </w:rPr>
  </w:style>
  <w:style w:type="character" w:customStyle="1" w:styleId="TestonotaapidipaginaCarattere">
    <w:name w:val="Testo nota a piè di pagina Carattere"/>
    <w:aliases w:val="Footnote Text (alt f) Carattere"/>
    <w:basedOn w:val="Carpredefinitoparagrafo"/>
    <w:link w:val="Testonotaapidipagina"/>
    <w:uiPriority w:val="99"/>
    <w:rsid w:val="00E10FCD"/>
    <w:rPr>
      <w:sz w:val="20"/>
      <w:szCs w:val="20"/>
    </w:rPr>
  </w:style>
  <w:style w:type="character" w:styleId="Rimandonotaapidipagina">
    <w:name w:val="footnote reference"/>
    <w:basedOn w:val="Carpredefinitoparagrafo"/>
    <w:uiPriority w:val="99"/>
    <w:unhideWhenUsed/>
    <w:rsid w:val="00E10FCD"/>
    <w:rPr>
      <w:vertAlign w:val="superscript"/>
    </w:rPr>
  </w:style>
  <w:style w:type="character" w:customStyle="1" w:styleId="None">
    <w:name w:val="None"/>
    <w:rsid w:val="00E10FCD"/>
  </w:style>
  <w:style w:type="paragraph" w:customStyle="1" w:styleId="BodyA">
    <w:name w:val="Body A"/>
    <w:rsid w:val="00E10FCD"/>
    <w:pPr>
      <w:pBdr>
        <w:top w:val="nil"/>
        <w:left w:val="nil"/>
        <w:bottom w:val="nil"/>
        <w:right w:val="nil"/>
        <w:between w:val="nil"/>
        <w:bar w:val="nil"/>
      </w:pBdr>
    </w:pPr>
    <w:rPr>
      <w:rFonts w:ascii="Calibri" w:eastAsia="Calibri" w:hAnsi="Calibri" w:cs="Calibri"/>
      <w:color w:val="000000"/>
      <w:kern w:val="0"/>
      <w:u w:color="000000"/>
      <w:bdr w:val="nil"/>
      <w:lang w:val="en-US"/>
      <w14:ligatures w14:val="none"/>
    </w:rPr>
  </w:style>
  <w:style w:type="paragraph" w:styleId="Paragrafoelenco">
    <w:name w:val="List Paragraph"/>
    <w:basedOn w:val="Normale"/>
    <w:qFormat/>
    <w:rsid w:val="00F34CA3"/>
    <w:pPr>
      <w:ind w:left="720"/>
      <w:contextualSpacing/>
    </w:pPr>
  </w:style>
  <w:style w:type="paragraph" w:styleId="Pidipagina">
    <w:name w:val="footer"/>
    <w:basedOn w:val="Normale"/>
    <w:link w:val="PidipaginaCarattere"/>
    <w:uiPriority w:val="99"/>
    <w:unhideWhenUsed/>
    <w:rsid w:val="006D6CE2"/>
    <w:pPr>
      <w:tabs>
        <w:tab w:val="center" w:pos="4513"/>
        <w:tab w:val="right" w:pos="9026"/>
      </w:tabs>
    </w:pPr>
  </w:style>
  <w:style w:type="character" w:customStyle="1" w:styleId="PidipaginaCarattere">
    <w:name w:val="Piè di pagina Carattere"/>
    <w:basedOn w:val="Carpredefinitoparagrafo"/>
    <w:link w:val="Pidipagina"/>
    <w:uiPriority w:val="99"/>
    <w:rsid w:val="006D6C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9E7AC5BC9699E14EAA806B608BDB62BF" ma:contentTypeVersion="10" ma:contentTypeDescription="Ein neues Dokument erstellen." ma:contentTypeScope="" ma:versionID="9d9818edd98b7b5764d403ccdb35861e">
  <xsd:schema xmlns:xsd="http://www.w3.org/2001/XMLSchema" xmlns:xs="http://www.w3.org/2001/XMLSchema" xmlns:p="http://schemas.microsoft.com/office/2006/metadata/properties" xmlns:ns2="d6fcca1a-8ce8-4b5f-a4b4-e57fd4928cde" xmlns:ns3="2ecc3c4a-6ac4-4f0b-aa83-3da2394f6e22" targetNamespace="http://schemas.microsoft.com/office/2006/metadata/properties" ma:root="true" ma:fieldsID="a04c1c6106f0b9e95bb6068ec1fb07de" ns2:_="" ns3:_="">
    <xsd:import namespace="d6fcca1a-8ce8-4b5f-a4b4-e57fd4928cde"/>
    <xsd:import namespace="2ecc3c4a-6ac4-4f0b-aa83-3da2394f6e2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cca1a-8ce8-4b5f-a4b4-e57fd4928c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ecc3c4a-6ac4-4f0b-aa83-3da2394f6e22"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3E2665-62C7-4CA0-95C2-A1D6A2E1A3E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06EF313-2560-419D-90E1-9FE065ACE012}">
  <ds:schemaRefs>
    <ds:schemaRef ds:uri="http://schemas.microsoft.com/sharepoint/v3/contenttype/forms"/>
  </ds:schemaRefs>
</ds:datastoreItem>
</file>

<file path=customXml/itemProps3.xml><?xml version="1.0" encoding="utf-8"?>
<ds:datastoreItem xmlns:ds="http://schemas.openxmlformats.org/officeDocument/2006/customXml" ds:itemID="{3FA68EAD-3C7A-4BAF-AD80-F26ED23D0C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cca1a-8ce8-4b5f-a4b4-e57fd4928cde"/>
    <ds:schemaRef ds:uri="2ecc3c4a-6ac4-4f0b-aa83-3da2394f6e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1051</Words>
  <Characters>5991</Characters>
  <Application>Microsoft Office Word</Application>
  <DocSecurity>0</DocSecurity>
  <Lines>49</Lines>
  <Paragraphs>14</Paragraphs>
  <ScaleCrop>false</ScaleCrop>
  <HeadingPairs>
    <vt:vector size="6" baseType="variant">
      <vt:variant>
        <vt:lpstr>Titolo</vt:lpstr>
      </vt:variant>
      <vt:variant>
        <vt:i4>1</vt:i4>
      </vt:variant>
      <vt:variant>
        <vt:lpstr>Titel</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7028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Philip McDonagh</dc:creator>
  <cp:lastModifiedBy>.</cp:lastModifiedBy>
  <cp:revision>2</cp:revision>
  <dcterms:created xsi:type="dcterms:W3CDTF">2024-03-13T09:50:00Z</dcterms:created>
  <dcterms:modified xsi:type="dcterms:W3CDTF">2024-03-13T09:50:00Z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0x0101009E7AC5BC9699E14EAA806B608BDB62BF</vt:lpwstr>
  </property>
</Properties>
</file>